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A17EE" w14:textId="3A5B759A" w:rsidR="005C3D18" w:rsidRPr="00412A0D" w:rsidRDefault="00150EC2" w:rsidP="008723FF">
      <w:pPr>
        <w:pStyle w:val="Title"/>
        <w:spacing w:line="360" w:lineRule="auto"/>
        <w:rPr>
          <w:sz w:val="24"/>
        </w:rPr>
      </w:pPr>
      <w:bookmarkStart w:id="0" w:name="_Hlk170725591"/>
      <w:r w:rsidRPr="00412A0D">
        <w:rPr>
          <w:sz w:val="24"/>
        </w:rPr>
        <w:t xml:space="preserve">Dr. </w:t>
      </w:r>
      <w:r w:rsidR="005C3D18" w:rsidRPr="00412A0D">
        <w:rPr>
          <w:sz w:val="24"/>
        </w:rPr>
        <w:t>J</w:t>
      </w:r>
      <w:r w:rsidR="0009369D" w:rsidRPr="00412A0D">
        <w:rPr>
          <w:sz w:val="24"/>
        </w:rPr>
        <w:t>ohn Noël Dillon</w:t>
      </w:r>
    </w:p>
    <w:p w14:paraId="0939A19D" w14:textId="58CA52E8" w:rsidR="00150EC2" w:rsidRPr="00412A0D" w:rsidRDefault="00476090" w:rsidP="008723FF">
      <w:pPr>
        <w:pStyle w:val="Title"/>
        <w:spacing w:line="36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Senior Lector</w:t>
      </w:r>
      <w:r w:rsidR="005A0A3C">
        <w:rPr>
          <w:b w:val="0"/>
          <w:bCs w:val="0"/>
          <w:sz w:val="24"/>
        </w:rPr>
        <w:t xml:space="preserve">, </w:t>
      </w:r>
      <w:r>
        <w:rPr>
          <w:b w:val="0"/>
          <w:bCs w:val="0"/>
          <w:sz w:val="24"/>
        </w:rPr>
        <w:t>Classics</w:t>
      </w:r>
      <w:r w:rsidR="005A0A3C">
        <w:rPr>
          <w:b w:val="0"/>
          <w:bCs w:val="0"/>
          <w:sz w:val="24"/>
        </w:rPr>
        <w:t xml:space="preserve"> and the Yale Divinity School</w:t>
      </w:r>
      <w:r w:rsidR="005A0A3C">
        <w:rPr>
          <w:b w:val="0"/>
          <w:bCs w:val="0"/>
          <w:sz w:val="24"/>
        </w:rPr>
        <w:br/>
      </w:r>
      <w:r w:rsidR="007C1E77">
        <w:rPr>
          <w:b w:val="0"/>
          <w:bCs w:val="0"/>
          <w:sz w:val="24"/>
        </w:rPr>
        <w:t>S</w:t>
      </w:r>
      <w:r w:rsidR="00150EC2" w:rsidRPr="00412A0D">
        <w:rPr>
          <w:b w:val="0"/>
          <w:bCs w:val="0"/>
          <w:sz w:val="24"/>
        </w:rPr>
        <w:t>cholarly translator</w:t>
      </w:r>
    </w:p>
    <w:p w14:paraId="58FAE0B8" w14:textId="77777777" w:rsidR="00150EC2" w:rsidRPr="00412A0D" w:rsidRDefault="00150EC2" w:rsidP="008723FF">
      <w:pPr>
        <w:pStyle w:val="Title"/>
        <w:spacing w:line="360" w:lineRule="auto"/>
        <w:rPr>
          <w:sz w:val="24"/>
        </w:rPr>
      </w:pPr>
    </w:p>
    <w:p w14:paraId="5B1D8522" w14:textId="16355910" w:rsidR="00815BA2" w:rsidRPr="00412A0D" w:rsidRDefault="00150EC2" w:rsidP="008A7BBE">
      <w:pPr>
        <w:pStyle w:val="Title"/>
        <w:spacing w:line="360" w:lineRule="auto"/>
        <w:ind w:left="270"/>
        <w:jc w:val="left"/>
        <w:rPr>
          <w:b w:val="0"/>
          <w:bCs w:val="0"/>
          <w:sz w:val="24"/>
        </w:rPr>
      </w:pPr>
      <w:r w:rsidRPr="00412A0D">
        <w:rPr>
          <w:b w:val="0"/>
          <w:bCs w:val="0"/>
          <w:sz w:val="24"/>
        </w:rPr>
        <w:t xml:space="preserve">Email: </w:t>
      </w:r>
      <w:hyperlink r:id="rId5" w:history="1">
        <w:r w:rsidRPr="00412A0D">
          <w:rPr>
            <w:rStyle w:val="Hyperlink"/>
            <w:b w:val="0"/>
            <w:bCs w:val="0"/>
            <w:sz w:val="24"/>
          </w:rPr>
          <w:t>john.dillon@yale.edu</w:t>
        </w:r>
      </w:hyperlink>
      <w:r w:rsidR="002663C5" w:rsidRPr="00412A0D">
        <w:rPr>
          <w:b w:val="0"/>
          <w:bCs w:val="0"/>
          <w:sz w:val="24"/>
        </w:rPr>
        <w:t xml:space="preserve"> </w:t>
      </w:r>
    </w:p>
    <w:p w14:paraId="3E1A6D36" w14:textId="0B8A0532" w:rsidR="002663C5" w:rsidRDefault="002663C5" w:rsidP="008A7BBE">
      <w:pPr>
        <w:pStyle w:val="Title"/>
        <w:spacing w:line="360" w:lineRule="auto"/>
        <w:ind w:left="27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Classics </w:t>
      </w:r>
      <w:r w:rsidR="00E8311A">
        <w:rPr>
          <w:b w:val="0"/>
          <w:bCs w:val="0"/>
          <w:sz w:val="24"/>
        </w:rPr>
        <w:t xml:space="preserve">faculty </w:t>
      </w:r>
      <w:r>
        <w:rPr>
          <w:b w:val="0"/>
          <w:bCs w:val="0"/>
          <w:sz w:val="24"/>
        </w:rPr>
        <w:t xml:space="preserve">website: </w:t>
      </w:r>
      <w:hyperlink r:id="rId6" w:history="1">
        <w:r w:rsidRPr="00C52B0C">
          <w:rPr>
            <w:rStyle w:val="Hyperlink"/>
            <w:b w:val="0"/>
            <w:bCs w:val="0"/>
            <w:sz w:val="24"/>
          </w:rPr>
          <w:t>https://classics.yale.edu/people/john-noel-dillon</w:t>
        </w:r>
      </w:hyperlink>
      <w:r>
        <w:rPr>
          <w:b w:val="0"/>
          <w:bCs w:val="0"/>
          <w:sz w:val="24"/>
        </w:rPr>
        <w:t xml:space="preserve"> </w:t>
      </w:r>
    </w:p>
    <w:p w14:paraId="62D7BE2B" w14:textId="453C24AC" w:rsidR="00EB590E" w:rsidRDefault="00EB590E" w:rsidP="008A7BBE">
      <w:pPr>
        <w:pStyle w:val="Title"/>
        <w:spacing w:line="360" w:lineRule="auto"/>
        <w:ind w:left="27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Medieval Studies faculty website: </w:t>
      </w:r>
      <w:hyperlink r:id="rId7" w:history="1">
        <w:r w:rsidRPr="000B730A">
          <w:rPr>
            <w:rStyle w:val="Hyperlink"/>
            <w:b w:val="0"/>
            <w:bCs w:val="0"/>
            <w:sz w:val="24"/>
          </w:rPr>
          <w:t>https://medieval.yale.edu/people/john-dillon</w:t>
        </w:r>
      </w:hyperlink>
      <w:r>
        <w:rPr>
          <w:b w:val="0"/>
          <w:bCs w:val="0"/>
          <w:sz w:val="24"/>
        </w:rPr>
        <w:t xml:space="preserve"> </w:t>
      </w:r>
    </w:p>
    <w:p w14:paraId="20D63E2D" w14:textId="230385E7" w:rsidR="00150EC2" w:rsidRPr="00412A0D" w:rsidRDefault="002663C5" w:rsidP="008A7BBE">
      <w:pPr>
        <w:pStyle w:val="Title"/>
        <w:spacing w:line="360" w:lineRule="auto"/>
        <w:ind w:left="270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YDS </w:t>
      </w:r>
      <w:r w:rsidR="00E8311A">
        <w:rPr>
          <w:b w:val="0"/>
          <w:bCs w:val="0"/>
          <w:sz w:val="24"/>
        </w:rPr>
        <w:t>f</w:t>
      </w:r>
      <w:r w:rsidR="00150EC2" w:rsidRPr="00412A0D">
        <w:rPr>
          <w:b w:val="0"/>
          <w:bCs w:val="0"/>
          <w:sz w:val="24"/>
        </w:rPr>
        <w:t xml:space="preserve">aculty website: </w:t>
      </w:r>
      <w:hyperlink r:id="rId8" w:history="1">
        <w:r w:rsidR="00150EC2" w:rsidRPr="00412A0D">
          <w:rPr>
            <w:rStyle w:val="Hyperlink"/>
            <w:b w:val="0"/>
            <w:bCs w:val="0"/>
            <w:sz w:val="24"/>
          </w:rPr>
          <w:t>https://divinity.yale.edu/faculty-and-research/yds-faculty/john-no-l-dillon</w:t>
        </w:r>
      </w:hyperlink>
      <w:r w:rsidR="00150EC2" w:rsidRPr="00412A0D">
        <w:rPr>
          <w:b w:val="0"/>
          <w:bCs w:val="0"/>
          <w:sz w:val="24"/>
        </w:rPr>
        <w:t xml:space="preserve"> </w:t>
      </w:r>
    </w:p>
    <w:p w14:paraId="07B0FEA5" w14:textId="77777777" w:rsidR="00150EC2" w:rsidRPr="00412A0D" w:rsidRDefault="00150EC2" w:rsidP="00150EC2">
      <w:pPr>
        <w:pStyle w:val="Title"/>
        <w:spacing w:line="360" w:lineRule="auto"/>
        <w:jc w:val="left"/>
        <w:rPr>
          <w:b w:val="0"/>
          <w:bCs w:val="0"/>
          <w:sz w:val="24"/>
        </w:rPr>
      </w:pPr>
    </w:p>
    <w:p w14:paraId="46D170AE" w14:textId="77777777" w:rsidR="008729F8" w:rsidRPr="00412A0D" w:rsidRDefault="008729F8" w:rsidP="00412A0D">
      <w:pPr>
        <w:pStyle w:val="Heading1"/>
        <w:rPr>
          <w:sz w:val="28"/>
          <w:szCs w:val="28"/>
        </w:rPr>
      </w:pPr>
      <w:r w:rsidRPr="00412A0D">
        <w:rPr>
          <w:sz w:val="28"/>
          <w:szCs w:val="28"/>
        </w:rPr>
        <w:t>Education</w:t>
      </w:r>
    </w:p>
    <w:p w14:paraId="6BDCA331" w14:textId="77777777" w:rsidR="00287378" w:rsidRPr="00412A0D" w:rsidRDefault="008729F8" w:rsidP="008723FF">
      <w:pPr>
        <w:pStyle w:val="BodyTextIndent"/>
        <w:spacing w:after="120" w:line="360" w:lineRule="auto"/>
        <w:ind w:left="270" w:firstLine="0"/>
        <w:contextualSpacing/>
        <w:rPr>
          <w:sz w:val="24"/>
        </w:rPr>
      </w:pPr>
      <w:r w:rsidRPr="00412A0D">
        <w:rPr>
          <w:sz w:val="24"/>
        </w:rPr>
        <w:t>PhD in Classics, Yale University, 2008</w:t>
      </w:r>
    </w:p>
    <w:p w14:paraId="0A6D82CB" w14:textId="68EDAAFC" w:rsidR="00287378" w:rsidRPr="00412A0D" w:rsidRDefault="008729F8" w:rsidP="008723FF">
      <w:pPr>
        <w:pStyle w:val="BodyTextIndent"/>
        <w:spacing w:after="120" w:line="360" w:lineRule="auto"/>
        <w:ind w:left="270" w:firstLine="0"/>
        <w:contextualSpacing/>
        <w:rPr>
          <w:sz w:val="24"/>
        </w:rPr>
      </w:pPr>
      <w:r w:rsidRPr="00412A0D">
        <w:rPr>
          <w:sz w:val="24"/>
        </w:rPr>
        <w:t xml:space="preserve">MA </w:t>
      </w:r>
      <w:r w:rsidR="00E65837" w:rsidRPr="00412A0D">
        <w:rPr>
          <w:sz w:val="24"/>
        </w:rPr>
        <w:t xml:space="preserve">and MPhil </w:t>
      </w:r>
      <w:r w:rsidRPr="00412A0D">
        <w:rPr>
          <w:sz w:val="24"/>
        </w:rPr>
        <w:t>in Classics, Yale University, 2005</w:t>
      </w:r>
      <w:r w:rsidR="00575232" w:rsidRPr="00412A0D">
        <w:rPr>
          <w:bCs/>
          <w:iCs/>
          <w:sz w:val="24"/>
        </w:rPr>
        <w:t>–200</w:t>
      </w:r>
      <w:r w:rsidR="00E65837" w:rsidRPr="00412A0D">
        <w:rPr>
          <w:sz w:val="24"/>
        </w:rPr>
        <w:t>6</w:t>
      </w:r>
    </w:p>
    <w:p w14:paraId="263F601E" w14:textId="5BB3E75E" w:rsidR="00614B12" w:rsidRPr="00412A0D" w:rsidRDefault="00614B12" w:rsidP="008723FF">
      <w:pPr>
        <w:pStyle w:val="BodyTextIndent"/>
        <w:spacing w:after="120" w:line="360" w:lineRule="auto"/>
        <w:ind w:left="270" w:firstLine="0"/>
        <w:contextualSpacing/>
        <w:rPr>
          <w:sz w:val="24"/>
        </w:rPr>
      </w:pPr>
      <w:r w:rsidRPr="00412A0D">
        <w:rPr>
          <w:sz w:val="24"/>
        </w:rPr>
        <w:t xml:space="preserve">Post-Bacc. </w:t>
      </w:r>
      <w:r w:rsidR="0076301D" w:rsidRPr="00412A0D">
        <w:rPr>
          <w:sz w:val="24"/>
        </w:rPr>
        <w:t>C</w:t>
      </w:r>
      <w:r w:rsidRPr="00412A0D">
        <w:rPr>
          <w:sz w:val="24"/>
        </w:rPr>
        <w:t>ertificate in Classics, UNC Chapel Hill, 2002</w:t>
      </w:r>
    </w:p>
    <w:p w14:paraId="6857257B" w14:textId="2209B901" w:rsidR="008729F8" w:rsidRPr="00412A0D" w:rsidRDefault="008729F8" w:rsidP="008723FF">
      <w:pPr>
        <w:pStyle w:val="BodyTextIndent"/>
        <w:spacing w:after="120" w:line="360" w:lineRule="auto"/>
        <w:ind w:left="270" w:firstLine="0"/>
        <w:contextualSpacing/>
        <w:rPr>
          <w:sz w:val="24"/>
        </w:rPr>
      </w:pPr>
      <w:r w:rsidRPr="00412A0D">
        <w:rPr>
          <w:sz w:val="24"/>
        </w:rPr>
        <w:t xml:space="preserve">BA </w:t>
      </w:r>
      <w:r w:rsidRPr="00412A0D">
        <w:rPr>
          <w:i/>
          <w:iCs/>
          <w:sz w:val="24"/>
        </w:rPr>
        <w:t>summa cum laude</w:t>
      </w:r>
      <w:r w:rsidRPr="00412A0D">
        <w:rPr>
          <w:sz w:val="24"/>
        </w:rPr>
        <w:t xml:space="preserve"> in English and History, </w:t>
      </w:r>
      <w:r w:rsidR="00614B12" w:rsidRPr="00412A0D">
        <w:rPr>
          <w:sz w:val="24"/>
        </w:rPr>
        <w:t xml:space="preserve">minor in Classical </w:t>
      </w:r>
      <w:r w:rsidR="0076301D" w:rsidRPr="00412A0D">
        <w:rPr>
          <w:sz w:val="24"/>
        </w:rPr>
        <w:t>L</w:t>
      </w:r>
      <w:r w:rsidR="00614B12" w:rsidRPr="00412A0D">
        <w:rPr>
          <w:sz w:val="24"/>
        </w:rPr>
        <w:t xml:space="preserve">anguages, </w:t>
      </w:r>
      <w:r w:rsidR="00E65837" w:rsidRPr="00412A0D">
        <w:rPr>
          <w:sz w:val="24"/>
        </w:rPr>
        <w:t>UNC</w:t>
      </w:r>
      <w:r w:rsidRPr="00412A0D">
        <w:rPr>
          <w:sz w:val="24"/>
        </w:rPr>
        <w:t xml:space="preserve"> Charlotte, 2001</w:t>
      </w:r>
    </w:p>
    <w:p w14:paraId="7245BD91" w14:textId="6A0B23F7" w:rsidR="00C40DD6" w:rsidRPr="00412A0D" w:rsidRDefault="00C40DD6" w:rsidP="00412A0D">
      <w:pPr>
        <w:pStyle w:val="Heading1"/>
        <w:rPr>
          <w:sz w:val="28"/>
          <w:szCs w:val="28"/>
        </w:rPr>
      </w:pPr>
      <w:r w:rsidRPr="00412A0D">
        <w:rPr>
          <w:sz w:val="28"/>
          <w:szCs w:val="28"/>
        </w:rPr>
        <w:t xml:space="preserve">Current </w:t>
      </w:r>
      <w:r w:rsidR="00D94C9E" w:rsidRPr="00412A0D">
        <w:rPr>
          <w:sz w:val="28"/>
          <w:szCs w:val="28"/>
        </w:rPr>
        <w:t>p</w:t>
      </w:r>
      <w:r w:rsidRPr="00412A0D">
        <w:rPr>
          <w:sz w:val="28"/>
          <w:szCs w:val="28"/>
        </w:rPr>
        <w:t>osition</w:t>
      </w:r>
    </w:p>
    <w:p w14:paraId="7886545D" w14:textId="46DA2869" w:rsidR="00981583" w:rsidRPr="00412A0D" w:rsidRDefault="00476090" w:rsidP="008723FF">
      <w:pPr>
        <w:spacing w:line="360" w:lineRule="auto"/>
        <w:ind w:left="270"/>
      </w:pPr>
      <w:r>
        <w:t>Senior Lector</w:t>
      </w:r>
      <w:r w:rsidR="000457AF">
        <w:t xml:space="preserve"> I</w:t>
      </w:r>
      <w:r w:rsidR="00981583" w:rsidRPr="00412A0D">
        <w:t xml:space="preserve">, Yale </w:t>
      </w:r>
      <w:r>
        <w:t xml:space="preserve">University Department of Classics and Yale </w:t>
      </w:r>
      <w:r w:rsidR="00981583" w:rsidRPr="00412A0D">
        <w:t>Divinity School</w:t>
      </w:r>
      <w:r w:rsidR="005A0A3C">
        <w:t xml:space="preserve"> (since July 2023)</w:t>
      </w:r>
    </w:p>
    <w:p w14:paraId="545F7B2E" w14:textId="1FC14C30" w:rsidR="00C40DD6" w:rsidRPr="00412A0D" w:rsidRDefault="00F21644" w:rsidP="007C1E77">
      <w:pPr>
        <w:spacing w:after="120" w:line="360" w:lineRule="auto"/>
        <w:ind w:left="274"/>
      </w:pPr>
      <w:r w:rsidRPr="00412A0D">
        <w:t xml:space="preserve">Scholarly </w:t>
      </w:r>
      <w:r w:rsidR="00C40DD6" w:rsidRPr="00412A0D">
        <w:t xml:space="preserve">translator </w:t>
      </w:r>
      <w:r w:rsidR="00614B12" w:rsidRPr="00412A0D">
        <w:t>specializ</w:t>
      </w:r>
      <w:r w:rsidR="007C53B1" w:rsidRPr="00412A0D">
        <w:t>ing</w:t>
      </w:r>
      <w:r w:rsidR="00614B12" w:rsidRPr="00412A0D">
        <w:t xml:space="preserve"> in German,</w:t>
      </w:r>
      <w:r w:rsidR="00C40DD6" w:rsidRPr="00412A0D">
        <w:t xml:space="preserve"> French, and Italian</w:t>
      </w:r>
      <w:r w:rsidR="00E17CD3" w:rsidRPr="00412A0D">
        <w:t xml:space="preserve"> </w:t>
      </w:r>
      <w:r w:rsidR="001C2509" w:rsidRPr="00412A0D">
        <w:t>studies</w:t>
      </w:r>
      <w:r w:rsidRPr="00412A0D">
        <w:t xml:space="preserve"> </w:t>
      </w:r>
      <w:r w:rsidR="001C2509" w:rsidRPr="00412A0D">
        <w:t>of</w:t>
      </w:r>
      <w:r w:rsidRPr="00412A0D">
        <w:t xml:space="preserve"> </w:t>
      </w:r>
      <w:r w:rsidR="00E17CD3" w:rsidRPr="00412A0D">
        <w:t>Classic</w:t>
      </w:r>
      <w:r w:rsidR="001C2509" w:rsidRPr="00412A0D">
        <w:t>al Antiquity</w:t>
      </w:r>
      <w:r w:rsidR="00E17CD3" w:rsidRPr="00412A0D">
        <w:t xml:space="preserve"> and European </w:t>
      </w:r>
      <w:r w:rsidRPr="00412A0D">
        <w:t>h</w:t>
      </w:r>
      <w:r w:rsidR="00E17CD3" w:rsidRPr="00412A0D">
        <w:t xml:space="preserve">istory </w:t>
      </w:r>
      <w:r w:rsidR="001C2509" w:rsidRPr="00412A0D">
        <w:t xml:space="preserve">and culture </w:t>
      </w:r>
      <w:r w:rsidR="00E17CD3" w:rsidRPr="00412A0D">
        <w:t>(ancient, medieval, and early modern)</w:t>
      </w:r>
    </w:p>
    <w:p w14:paraId="6E05763D" w14:textId="77777777" w:rsidR="00211A8A" w:rsidRPr="00412A0D" w:rsidRDefault="00C40DD6" w:rsidP="00412A0D">
      <w:pPr>
        <w:pStyle w:val="Heading1"/>
        <w:rPr>
          <w:sz w:val="28"/>
          <w:szCs w:val="28"/>
        </w:rPr>
      </w:pPr>
      <w:r w:rsidRPr="00412A0D">
        <w:rPr>
          <w:sz w:val="28"/>
          <w:szCs w:val="28"/>
        </w:rPr>
        <w:t xml:space="preserve">Previous </w:t>
      </w:r>
      <w:r w:rsidR="00D94C9E" w:rsidRPr="00412A0D">
        <w:rPr>
          <w:sz w:val="28"/>
          <w:szCs w:val="28"/>
        </w:rPr>
        <w:t>p</w:t>
      </w:r>
      <w:r w:rsidRPr="00412A0D">
        <w:rPr>
          <w:sz w:val="28"/>
          <w:szCs w:val="28"/>
        </w:rPr>
        <w:t>ositions</w:t>
      </w:r>
    </w:p>
    <w:p w14:paraId="77EA859C" w14:textId="770AAC26" w:rsidR="00476090" w:rsidRDefault="00476090" w:rsidP="008723FF">
      <w:pPr>
        <w:pStyle w:val="BodyTextIndent2"/>
        <w:tabs>
          <w:tab w:val="left" w:pos="1440"/>
        </w:tabs>
        <w:spacing w:after="120" w:line="360" w:lineRule="auto"/>
        <w:ind w:left="1440" w:hanging="1170"/>
        <w:contextualSpacing/>
        <w:rPr>
          <w:iCs/>
          <w:sz w:val="24"/>
        </w:rPr>
      </w:pPr>
      <w:r>
        <w:rPr>
          <w:iCs/>
          <w:sz w:val="24"/>
        </w:rPr>
        <w:t>Lecturer in Latin, Yale Divinity School (2016–2023)</w:t>
      </w:r>
    </w:p>
    <w:p w14:paraId="6295FCE4" w14:textId="60249EBC" w:rsidR="00257608" w:rsidRPr="00412A0D" w:rsidRDefault="00257608" w:rsidP="008723FF">
      <w:pPr>
        <w:pStyle w:val="BodyTextIndent2"/>
        <w:tabs>
          <w:tab w:val="left" w:pos="1440"/>
        </w:tabs>
        <w:spacing w:after="120" w:line="360" w:lineRule="auto"/>
        <w:ind w:left="1440" w:hanging="1170"/>
        <w:contextualSpacing/>
        <w:rPr>
          <w:iCs/>
          <w:sz w:val="24"/>
        </w:rPr>
      </w:pPr>
      <w:r w:rsidRPr="00412A0D">
        <w:rPr>
          <w:iCs/>
          <w:sz w:val="24"/>
        </w:rPr>
        <w:t>Visiting Lecturer, Department of History, Peking University, Beijing, China</w:t>
      </w:r>
      <w:r w:rsidR="00981583" w:rsidRPr="00412A0D">
        <w:rPr>
          <w:iCs/>
          <w:sz w:val="24"/>
        </w:rPr>
        <w:t xml:space="preserve"> (2012</w:t>
      </w:r>
      <w:r w:rsidR="00575232" w:rsidRPr="00412A0D">
        <w:rPr>
          <w:bCs/>
          <w:iCs/>
          <w:sz w:val="24"/>
        </w:rPr>
        <w:t>–20</w:t>
      </w:r>
      <w:r w:rsidR="00981583" w:rsidRPr="00412A0D">
        <w:rPr>
          <w:iCs/>
          <w:sz w:val="24"/>
        </w:rPr>
        <w:t>13)</w:t>
      </w:r>
    </w:p>
    <w:p w14:paraId="2F13A50D" w14:textId="5BA69205" w:rsidR="00211A8A" w:rsidRPr="00412A0D" w:rsidRDefault="00E65837" w:rsidP="008723FF">
      <w:pPr>
        <w:pStyle w:val="BodyTextIndent2"/>
        <w:spacing w:after="120" w:line="360" w:lineRule="auto"/>
        <w:ind w:left="720" w:hanging="450"/>
        <w:contextualSpacing/>
        <w:rPr>
          <w:iCs/>
          <w:sz w:val="24"/>
        </w:rPr>
      </w:pPr>
      <w:r w:rsidRPr="00412A0D">
        <w:rPr>
          <w:iCs/>
          <w:sz w:val="24"/>
        </w:rPr>
        <w:t>Lecturer</w:t>
      </w:r>
      <w:r w:rsidR="00211A8A" w:rsidRPr="00412A0D">
        <w:rPr>
          <w:iCs/>
          <w:sz w:val="24"/>
        </w:rPr>
        <w:t>, Department of Classics and Ancient History, Un</w:t>
      </w:r>
      <w:r w:rsidR="00FE375A" w:rsidRPr="00412A0D">
        <w:rPr>
          <w:iCs/>
          <w:sz w:val="24"/>
        </w:rPr>
        <w:t xml:space="preserve">iversity of </w:t>
      </w:r>
      <w:r w:rsidR="0009369D" w:rsidRPr="00412A0D">
        <w:rPr>
          <w:iCs/>
          <w:sz w:val="24"/>
        </w:rPr>
        <w:t>Exeter</w:t>
      </w:r>
      <w:r w:rsidR="00257608" w:rsidRPr="00412A0D">
        <w:rPr>
          <w:iCs/>
          <w:sz w:val="24"/>
        </w:rPr>
        <w:t>, UK</w:t>
      </w:r>
      <w:r w:rsidR="00981583" w:rsidRPr="00412A0D">
        <w:rPr>
          <w:iCs/>
          <w:sz w:val="24"/>
        </w:rPr>
        <w:t xml:space="preserve"> (2010</w:t>
      </w:r>
      <w:r w:rsidR="00575232" w:rsidRPr="00412A0D">
        <w:rPr>
          <w:bCs/>
          <w:iCs/>
          <w:sz w:val="24"/>
        </w:rPr>
        <w:t>–20</w:t>
      </w:r>
      <w:r w:rsidR="00981583" w:rsidRPr="00412A0D">
        <w:rPr>
          <w:iCs/>
          <w:sz w:val="24"/>
        </w:rPr>
        <w:t>12)</w:t>
      </w:r>
    </w:p>
    <w:p w14:paraId="1FAF9E9E" w14:textId="0638435E" w:rsidR="002A7C02" w:rsidRPr="00412A0D" w:rsidRDefault="00211A8A" w:rsidP="008723FF">
      <w:pPr>
        <w:pStyle w:val="BodyTextIndent2"/>
        <w:spacing w:after="120" w:line="360" w:lineRule="auto"/>
        <w:ind w:left="540" w:hanging="270"/>
        <w:contextualSpacing/>
        <w:rPr>
          <w:iCs/>
          <w:sz w:val="24"/>
          <w:lang w:val="de-DE"/>
        </w:rPr>
      </w:pPr>
      <w:r w:rsidRPr="00412A0D">
        <w:rPr>
          <w:iCs/>
          <w:sz w:val="24"/>
          <w:lang w:val="de-DE"/>
        </w:rPr>
        <w:t>Post-Doctoral Fellow, Ruprecht-Karls-Universität Heidelberg</w:t>
      </w:r>
      <w:r w:rsidR="00257608" w:rsidRPr="00412A0D">
        <w:rPr>
          <w:iCs/>
          <w:sz w:val="24"/>
          <w:lang w:val="de-DE"/>
        </w:rPr>
        <w:t>, Germany</w:t>
      </w:r>
      <w:r w:rsidR="00981583" w:rsidRPr="00412A0D">
        <w:rPr>
          <w:iCs/>
          <w:sz w:val="24"/>
          <w:lang w:val="de-DE"/>
        </w:rPr>
        <w:t xml:space="preserve"> (2009</w:t>
      </w:r>
      <w:r w:rsidR="00575232" w:rsidRPr="00412A0D">
        <w:rPr>
          <w:bCs/>
          <w:iCs/>
          <w:sz w:val="24"/>
          <w:lang w:val="de-DE"/>
        </w:rPr>
        <w:t>–20</w:t>
      </w:r>
      <w:r w:rsidR="00981583" w:rsidRPr="00412A0D">
        <w:rPr>
          <w:iCs/>
          <w:sz w:val="24"/>
          <w:lang w:val="de-DE"/>
        </w:rPr>
        <w:t>10)</w:t>
      </w:r>
    </w:p>
    <w:p w14:paraId="2F64E466" w14:textId="7DAEE42F" w:rsidR="00287378" w:rsidRPr="00412A0D" w:rsidRDefault="00211A8A" w:rsidP="008723FF">
      <w:pPr>
        <w:pStyle w:val="BodyTextIndent2"/>
        <w:spacing w:after="120" w:line="360" w:lineRule="auto"/>
        <w:ind w:left="720" w:hanging="450"/>
        <w:contextualSpacing/>
        <w:rPr>
          <w:iCs/>
          <w:sz w:val="24"/>
        </w:rPr>
      </w:pPr>
      <w:r w:rsidRPr="00412A0D">
        <w:rPr>
          <w:iCs/>
          <w:sz w:val="24"/>
        </w:rPr>
        <w:t>Graduate Teaching Fellow, Yale University</w:t>
      </w:r>
      <w:r w:rsidR="00981583" w:rsidRPr="00412A0D">
        <w:rPr>
          <w:iCs/>
          <w:sz w:val="24"/>
        </w:rPr>
        <w:t xml:space="preserve"> (2004</w:t>
      </w:r>
      <w:r w:rsidR="00575232" w:rsidRPr="00412A0D">
        <w:rPr>
          <w:bCs/>
          <w:iCs/>
          <w:sz w:val="24"/>
        </w:rPr>
        <w:t>–200</w:t>
      </w:r>
      <w:r w:rsidR="00981583" w:rsidRPr="00412A0D">
        <w:rPr>
          <w:iCs/>
          <w:sz w:val="24"/>
        </w:rPr>
        <w:t>8)</w:t>
      </w:r>
    </w:p>
    <w:p w14:paraId="4C9ADE18" w14:textId="785629F0" w:rsidR="00981583" w:rsidRPr="00412A0D" w:rsidRDefault="00E50006" w:rsidP="00412A0D">
      <w:pPr>
        <w:pStyle w:val="Heading1"/>
        <w:rPr>
          <w:sz w:val="28"/>
          <w:szCs w:val="28"/>
        </w:rPr>
      </w:pPr>
      <w:r w:rsidRPr="00412A0D">
        <w:rPr>
          <w:sz w:val="28"/>
          <w:szCs w:val="28"/>
        </w:rPr>
        <w:t>Scholarly h</w:t>
      </w:r>
      <w:r w:rsidR="00981583" w:rsidRPr="00412A0D">
        <w:rPr>
          <w:sz w:val="28"/>
          <w:szCs w:val="28"/>
        </w:rPr>
        <w:t xml:space="preserve">onors and </w:t>
      </w:r>
      <w:r w:rsidR="00D94C9E" w:rsidRPr="00412A0D">
        <w:rPr>
          <w:sz w:val="28"/>
          <w:szCs w:val="28"/>
        </w:rPr>
        <w:t>a</w:t>
      </w:r>
      <w:r w:rsidR="00981583" w:rsidRPr="00412A0D">
        <w:rPr>
          <w:sz w:val="28"/>
          <w:szCs w:val="28"/>
        </w:rPr>
        <w:t>wards</w:t>
      </w:r>
    </w:p>
    <w:p w14:paraId="67943C43" w14:textId="7D328EFC" w:rsidR="00897794" w:rsidRPr="00EA164E" w:rsidRDefault="00EA164E" w:rsidP="008723FF">
      <w:pPr>
        <w:pStyle w:val="BodyTextIndent2"/>
        <w:spacing w:after="120" w:line="360" w:lineRule="auto"/>
        <w:ind w:left="548" w:hanging="274"/>
        <w:contextualSpacing/>
        <w:rPr>
          <w:bCs/>
          <w:iCs/>
          <w:sz w:val="24"/>
          <w:lang w:val="de-DE"/>
        </w:rPr>
      </w:pPr>
      <w:r>
        <w:rPr>
          <w:bCs/>
          <w:iCs/>
          <w:sz w:val="24"/>
          <w:lang w:val="de-DE"/>
        </w:rPr>
        <w:t>Guest scholar</w:t>
      </w:r>
      <w:r w:rsidR="00897794" w:rsidRPr="00EA164E">
        <w:rPr>
          <w:bCs/>
          <w:iCs/>
          <w:sz w:val="24"/>
          <w:lang w:val="de-DE"/>
        </w:rPr>
        <w:t>, Kommission für Alte Geschichte</w:t>
      </w:r>
      <w:r>
        <w:rPr>
          <w:bCs/>
          <w:iCs/>
          <w:sz w:val="24"/>
          <w:lang w:val="de-DE"/>
        </w:rPr>
        <w:t xml:space="preserve"> und Epigraphik</w:t>
      </w:r>
      <w:r w:rsidR="00897794" w:rsidRPr="00EA164E">
        <w:rPr>
          <w:bCs/>
          <w:iCs/>
          <w:sz w:val="24"/>
          <w:lang w:val="de-DE"/>
        </w:rPr>
        <w:t>, Munich</w:t>
      </w:r>
      <w:r>
        <w:rPr>
          <w:bCs/>
          <w:iCs/>
          <w:sz w:val="24"/>
          <w:lang w:val="de-DE"/>
        </w:rPr>
        <w:t>, Germany</w:t>
      </w:r>
      <w:r w:rsidR="00897794" w:rsidRPr="00EA164E">
        <w:rPr>
          <w:bCs/>
          <w:iCs/>
          <w:sz w:val="24"/>
          <w:lang w:val="de-DE"/>
        </w:rPr>
        <w:t xml:space="preserve"> (June </w:t>
      </w:r>
      <w:r>
        <w:rPr>
          <w:bCs/>
          <w:iCs/>
          <w:sz w:val="24"/>
          <w:lang w:val="de-DE"/>
        </w:rPr>
        <w:t xml:space="preserve">9–29, </w:t>
      </w:r>
      <w:r w:rsidR="00897794" w:rsidRPr="00EA164E">
        <w:rPr>
          <w:bCs/>
          <w:iCs/>
          <w:sz w:val="24"/>
          <w:lang w:val="de-DE"/>
        </w:rPr>
        <w:t>2024)</w:t>
      </w:r>
    </w:p>
    <w:p w14:paraId="6C470BAB" w14:textId="7EBDD4FD" w:rsidR="00E66328" w:rsidRPr="00412A0D" w:rsidRDefault="00981583" w:rsidP="008723FF">
      <w:pPr>
        <w:pStyle w:val="BodyTextIndent2"/>
        <w:spacing w:after="120" w:line="360" w:lineRule="auto"/>
        <w:ind w:left="548" w:hanging="274"/>
        <w:contextualSpacing/>
        <w:rPr>
          <w:bCs/>
          <w:iCs/>
          <w:sz w:val="24"/>
        </w:rPr>
      </w:pPr>
      <w:r w:rsidRPr="00412A0D">
        <w:rPr>
          <w:bCs/>
          <w:iCs/>
          <w:sz w:val="24"/>
        </w:rPr>
        <w:t>Young Talents Programme, Peking University</w:t>
      </w:r>
      <w:r w:rsidR="00EA164E">
        <w:rPr>
          <w:bCs/>
          <w:iCs/>
          <w:sz w:val="24"/>
        </w:rPr>
        <w:t>, China</w:t>
      </w:r>
      <w:r w:rsidRPr="00412A0D">
        <w:rPr>
          <w:bCs/>
          <w:iCs/>
          <w:sz w:val="24"/>
        </w:rPr>
        <w:t xml:space="preserve"> (2012</w:t>
      </w:r>
      <w:r w:rsidR="00575232" w:rsidRPr="00412A0D">
        <w:rPr>
          <w:bCs/>
          <w:iCs/>
          <w:sz w:val="24"/>
        </w:rPr>
        <w:t>–20</w:t>
      </w:r>
      <w:r w:rsidRPr="00412A0D">
        <w:rPr>
          <w:bCs/>
          <w:iCs/>
          <w:sz w:val="24"/>
        </w:rPr>
        <w:t>13)</w:t>
      </w:r>
    </w:p>
    <w:p w14:paraId="7C978DDD" w14:textId="77777777" w:rsidR="00981583" w:rsidRPr="00412A0D" w:rsidRDefault="00981583" w:rsidP="008723FF">
      <w:pPr>
        <w:pStyle w:val="BodyTextIndent2"/>
        <w:spacing w:after="120" w:line="360" w:lineRule="auto"/>
        <w:ind w:left="548" w:hanging="274"/>
        <w:contextualSpacing/>
        <w:rPr>
          <w:bCs/>
          <w:iCs/>
          <w:sz w:val="24"/>
        </w:rPr>
      </w:pPr>
      <w:r w:rsidRPr="00412A0D">
        <w:rPr>
          <w:bCs/>
          <w:iCs/>
          <w:sz w:val="24"/>
        </w:rPr>
        <w:t>Fellow of the Higher Education Academy, UK (2012)</w:t>
      </w:r>
    </w:p>
    <w:p w14:paraId="5D2A431B" w14:textId="53C5FEEE" w:rsidR="00981583" w:rsidRPr="00412A0D" w:rsidRDefault="00981583" w:rsidP="008723FF">
      <w:pPr>
        <w:pStyle w:val="BodyTextIndent2"/>
        <w:spacing w:after="120" w:line="360" w:lineRule="auto"/>
        <w:ind w:left="548" w:hanging="274"/>
        <w:contextualSpacing/>
        <w:rPr>
          <w:bCs/>
          <w:iCs/>
          <w:sz w:val="24"/>
        </w:rPr>
      </w:pPr>
      <w:r w:rsidRPr="00412A0D">
        <w:rPr>
          <w:bCs/>
          <w:iCs/>
          <w:sz w:val="24"/>
        </w:rPr>
        <w:t>Whiting Dissertation Fel</w:t>
      </w:r>
      <w:r w:rsidR="00B312E1" w:rsidRPr="00412A0D">
        <w:rPr>
          <w:bCs/>
          <w:iCs/>
          <w:sz w:val="24"/>
        </w:rPr>
        <w:t>lowship, Yale University (2007</w:t>
      </w:r>
      <w:r w:rsidR="00575232" w:rsidRPr="00412A0D">
        <w:rPr>
          <w:bCs/>
          <w:iCs/>
          <w:sz w:val="24"/>
        </w:rPr>
        <w:t>–200</w:t>
      </w:r>
      <w:r w:rsidRPr="00412A0D">
        <w:rPr>
          <w:bCs/>
          <w:iCs/>
          <w:sz w:val="24"/>
        </w:rPr>
        <w:t>8)</w:t>
      </w:r>
    </w:p>
    <w:p w14:paraId="395D4B56" w14:textId="0CF4BBCA" w:rsidR="00981583" w:rsidRPr="00412A0D" w:rsidRDefault="00981583" w:rsidP="008723FF">
      <w:pPr>
        <w:pStyle w:val="BodyTextIndent2"/>
        <w:spacing w:after="120" w:line="360" w:lineRule="auto"/>
        <w:ind w:left="548" w:hanging="274"/>
        <w:contextualSpacing/>
        <w:rPr>
          <w:bCs/>
          <w:iCs/>
          <w:sz w:val="24"/>
        </w:rPr>
      </w:pPr>
      <w:r w:rsidRPr="00412A0D">
        <w:rPr>
          <w:bCs/>
          <w:iCs/>
          <w:sz w:val="24"/>
        </w:rPr>
        <w:t>Fulbright Research Grant, Ludwig-Maximilians-Universität</w:t>
      </w:r>
      <w:r w:rsidR="00EA164E">
        <w:rPr>
          <w:bCs/>
          <w:iCs/>
          <w:sz w:val="24"/>
        </w:rPr>
        <w:t>,</w:t>
      </w:r>
      <w:r w:rsidR="00B312E1" w:rsidRPr="00412A0D">
        <w:rPr>
          <w:bCs/>
          <w:iCs/>
          <w:sz w:val="24"/>
        </w:rPr>
        <w:t xml:space="preserve"> Munich</w:t>
      </w:r>
      <w:r w:rsidR="00EA164E">
        <w:rPr>
          <w:bCs/>
          <w:iCs/>
          <w:sz w:val="24"/>
        </w:rPr>
        <w:t>, Germany</w:t>
      </w:r>
      <w:r w:rsidR="00B312E1" w:rsidRPr="00412A0D">
        <w:rPr>
          <w:bCs/>
          <w:iCs/>
          <w:sz w:val="24"/>
        </w:rPr>
        <w:t xml:space="preserve"> (2005</w:t>
      </w:r>
      <w:r w:rsidR="00575232" w:rsidRPr="00412A0D">
        <w:rPr>
          <w:bCs/>
          <w:iCs/>
          <w:sz w:val="24"/>
        </w:rPr>
        <w:t>–200</w:t>
      </w:r>
      <w:r w:rsidRPr="00412A0D">
        <w:rPr>
          <w:bCs/>
          <w:iCs/>
          <w:sz w:val="24"/>
        </w:rPr>
        <w:t>6)</w:t>
      </w:r>
    </w:p>
    <w:p w14:paraId="4B1FE4A1" w14:textId="77777777" w:rsidR="00981583" w:rsidRPr="00412A0D" w:rsidRDefault="00981583" w:rsidP="008723FF">
      <w:pPr>
        <w:pStyle w:val="BodyTextIndent2"/>
        <w:spacing w:after="120" w:line="360" w:lineRule="auto"/>
        <w:ind w:left="548" w:hanging="274"/>
        <w:contextualSpacing/>
        <w:rPr>
          <w:bCs/>
          <w:iCs/>
          <w:sz w:val="24"/>
          <w:lang w:val="de-DE"/>
        </w:rPr>
      </w:pPr>
      <w:r w:rsidRPr="00412A0D">
        <w:rPr>
          <w:bCs/>
          <w:iCs/>
          <w:sz w:val="24"/>
          <w:lang w:val="de-DE"/>
        </w:rPr>
        <w:lastRenderedPageBreak/>
        <w:t>DAAD Forschungsstipendium, Munich, Germany (declined)</w:t>
      </w:r>
    </w:p>
    <w:p w14:paraId="2192CBC8" w14:textId="6256F8D0" w:rsidR="00981583" w:rsidRPr="00412A0D" w:rsidRDefault="00981583" w:rsidP="008723FF">
      <w:pPr>
        <w:pStyle w:val="BodyTextIndent2"/>
        <w:spacing w:after="120" w:line="360" w:lineRule="auto"/>
        <w:ind w:left="548" w:hanging="274"/>
        <w:contextualSpacing/>
        <w:rPr>
          <w:bCs/>
          <w:iCs/>
          <w:sz w:val="24"/>
        </w:rPr>
      </w:pPr>
      <w:r w:rsidRPr="00412A0D">
        <w:rPr>
          <w:bCs/>
          <w:iCs/>
          <w:sz w:val="24"/>
        </w:rPr>
        <w:t>William Flinn II Scho</w:t>
      </w:r>
      <w:r w:rsidR="00B312E1" w:rsidRPr="00412A0D">
        <w:rPr>
          <w:bCs/>
          <w:iCs/>
          <w:sz w:val="24"/>
        </w:rPr>
        <w:t>larship, Yale University (2004</w:t>
      </w:r>
      <w:r w:rsidR="00575232" w:rsidRPr="00412A0D">
        <w:rPr>
          <w:bCs/>
          <w:iCs/>
          <w:sz w:val="24"/>
        </w:rPr>
        <w:t>–200</w:t>
      </w:r>
      <w:r w:rsidRPr="00412A0D">
        <w:rPr>
          <w:bCs/>
          <w:iCs/>
          <w:sz w:val="24"/>
        </w:rPr>
        <w:t>5)</w:t>
      </w:r>
    </w:p>
    <w:p w14:paraId="17A08296" w14:textId="6F25F351" w:rsidR="00981583" w:rsidRPr="00412A0D" w:rsidRDefault="00981583" w:rsidP="008723FF">
      <w:pPr>
        <w:pStyle w:val="BodyTextIndent2"/>
        <w:spacing w:after="120" w:line="360" w:lineRule="auto"/>
        <w:ind w:left="548" w:hanging="274"/>
        <w:contextualSpacing/>
        <w:rPr>
          <w:bCs/>
          <w:iCs/>
          <w:sz w:val="24"/>
        </w:rPr>
      </w:pPr>
      <w:r w:rsidRPr="00412A0D">
        <w:rPr>
          <w:bCs/>
          <w:iCs/>
          <w:sz w:val="24"/>
        </w:rPr>
        <w:t>Richard J. Franke Fellowship in Classics, Yale University (2002</w:t>
      </w:r>
      <w:r w:rsidR="00575232" w:rsidRPr="00412A0D">
        <w:rPr>
          <w:bCs/>
          <w:iCs/>
          <w:sz w:val="24"/>
        </w:rPr>
        <w:t>–200</w:t>
      </w:r>
      <w:r w:rsidRPr="00412A0D">
        <w:rPr>
          <w:bCs/>
          <w:iCs/>
          <w:sz w:val="24"/>
        </w:rPr>
        <w:t>4)</w:t>
      </w:r>
    </w:p>
    <w:p w14:paraId="1C93CF48" w14:textId="385BC796" w:rsidR="00E50006" w:rsidRPr="00412A0D" w:rsidRDefault="009F66B8" w:rsidP="00412A0D">
      <w:pPr>
        <w:pStyle w:val="Heading1"/>
        <w:rPr>
          <w:sz w:val="28"/>
          <w:szCs w:val="28"/>
        </w:rPr>
      </w:pPr>
      <w:r w:rsidRPr="00412A0D">
        <w:rPr>
          <w:sz w:val="28"/>
          <w:szCs w:val="28"/>
        </w:rPr>
        <w:t>Scholarly i</w:t>
      </w:r>
      <w:r w:rsidR="00E50006" w:rsidRPr="00412A0D">
        <w:rPr>
          <w:sz w:val="28"/>
          <w:szCs w:val="28"/>
        </w:rPr>
        <w:t>nterests</w:t>
      </w:r>
    </w:p>
    <w:p w14:paraId="2E686FA7" w14:textId="098A5DEF" w:rsidR="00292F1D" w:rsidRDefault="00E50006" w:rsidP="009A20DC">
      <w:pPr>
        <w:spacing w:after="120" w:line="360" w:lineRule="auto"/>
        <w:ind w:left="548" w:hanging="274"/>
        <w:contextualSpacing/>
      </w:pPr>
      <w:r w:rsidRPr="00412A0D">
        <w:t xml:space="preserve">Latin </w:t>
      </w:r>
      <w:r w:rsidR="009A20DC">
        <w:t>l</w:t>
      </w:r>
      <w:r w:rsidRPr="00412A0D">
        <w:t>iterature</w:t>
      </w:r>
      <w:r w:rsidR="009A20DC">
        <w:t xml:space="preserve"> </w:t>
      </w:r>
      <w:r w:rsidR="00292F1D">
        <w:t>and textual criticism</w:t>
      </w:r>
    </w:p>
    <w:p w14:paraId="4B229B17" w14:textId="1C424B5B" w:rsidR="009A20DC" w:rsidRPr="00412A0D" w:rsidRDefault="00292F1D" w:rsidP="00A409E1">
      <w:pPr>
        <w:spacing w:after="120" w:line="360" w:lineRule="auto"/>
        <w:ind w:left="548" w:hanging="274"/>
        <w:contextualSpacing/>
      </w:pPr>
      <w:r>
        <w:t xml:space="preserve">History of </w:t>
      </w:r>
      <w:r w:rsidR="00E50006" w:rsidRPr="00412A0D">
        <w:t xml:space="preserve">the Roman Republic, </w:t>
      </w:r>
      <w:r w:rsidRPr="00412A0D">
        <w:t xml:space="preserve">Late Antiquity, </w:t>
      </w:r>
      <w:r w:rsidR="00E50006" w:rsidRPr="00412A0D">
        <w:t xml:space="preserve">Roman </w:t>
      </w:r>
      <w:r w:rsidR="009A20DC">
        <w:t>l</w:t>
      </w:r>
      <w:r w:rsidR="00E50006" w:rsidRPr="00412A0D">
        <w:t>aw</w:t>
      </w:r>
    </w:p>
    <w:p w14:paraId="701C0885" w14:textId="36519802" w:rsidR="00E50006" w:rsidRPr="00412A0D" w:rsidRDefault="00E50006" w:rsidP="00E50006">
      <w:pPr>
        <w:spacing w:after="120" w:line="360" w:lineRule="auto"/>
        <w:ind w:left="548" w:hanging="274"/>
        <w:contextualSpacing/>
      </w:pPr>
      <w:r w:rsidRPr="00412A0D">
        <w:t xml:space="preserve">Greek </w:t>
      </w:r>
      <w:r w:rsidR="009A20DC">
        <w:t>l</w:t>
      </w:r>
      <w:r w:rsidRPr="00412A0D">
        <w:t xml:space="preserve">iterature of the Roman </w:t>
      </w:r>
      <w:r w:rsidR="009A20DC">
        <w:t>p</w:t>
      </w:r>
      <w:r w:rsidRPr="00412A0D">
        <w:t>eriod</w:t>
      </w:r>
    </w:p>
    <w:p w14:paraId="030C0C81" w14:textId="1C5BBB82" w:rsidR="009A20DC" w:rsidRDefault="00292F1D" w:rsidP="00E50006">
      <w:pPr>
        <w:spacing w:after="120" w:line="360" w:lineRule="auto"/>
        <w:ind w:left="548" w:hanging="274"/>
        <w:contextualSpacing/>
      </w:pPr>
      <w:r>
        <w:t>Medieval</w:t>
      </w:r>
      <w:r w:rsidR="00E50006" w:rsidRPr="00412A0D">
        <w:t xml:space="preserve"> </w:t>
      </w:r>
      <w:r w:rsidR="009A20DC">
        <w:t>h</w:t>
      </w:r>
      <w:r w:rsidR="00E50006" w:rsidRPr="00412A0D">
        <w:t>istory</w:t>
      </w:r>
      <w:r w:rsidR="009A20DC">
        <w:t xml:space="preserve"> and culture, canon law</w:t>
      </w:r>
    </w:p>
    <w:p w14:paraId="7E7FD637" w14:textId="41A412D3" w:rsidR="00E50006" w:rsidRPr="00412A0D" w:rsidRDefault="00E50006" w:rsidP="00E50006">
      <w:pPr>
        <w:spacing w:after="120" w:line="360" w:lineRule="auto"/>
        <w:ind w:left="548" w:hanging="274"/>
        <w:contextualSpacing/>
      </w:pPr>
      <w:r w:rsidRPr="00412A0D">
        <w:t xml:space="preserve">Early </w:t>
      </w:r>
      <w:r w:rsidR="00292F1D">
        <w:t>m</w:t>
      </w:r>
      <w:r w:rsidRPr="00412A0D">
        <w:t>odern European</w:t>
      </w:r>
      <w:r w:rsidR="009A20DC">
        <w:t xml:space="preserve"> intellectual h</w:t>
      </w:r>
      <w:r w:rsidR="007850FE" w:rsidRPr="00412A0D">
        <w:t xml:space="preserve">istory and </w:t>
      </w:r>
      <w:r w:rsidR="009A20DC">
        <w:t>c</w:t>
      </w:r>
      <w:r w:rsidRPr="00412A0D">
        <w:t>ulture</w:t>
      </w:r>
    </w:p>
    <w:p w14:paraId="3378C825" w14:textId="1AB81BE9" w:rsidR="0040107B" w:rsidRPr="00412A0D" w:rsidRDefault="0040107B" w:rsidP="00412A0D">
      <w:pPr>
        <w:pStyle w:val="Heading1"/>
        <w:rPr>
          <w:sz w:val="28"/>
          <w:szCs w:val="28"/>
        </w:rPr>
      </w:pPr>
      <w:r w:rsidRPr="00412A0D">
        <w:rPr>
          <w:sz w:val="28"/>
          <w:szCs w:val="28"/>
        </w:rPr>
        <w:t>Teaching experience</w:t>
      </w:r>
    </w:p>
    <w:p w14:paraId="1FF280CD" w14:textId="69269B12" w:rsidR="007850FE" w:rsidRPr="00E20C3C" w:rsidRDefault="00131FA7" w:rsidP="00987D06">
      <w:r w:rsidRPr="00E20C3C">
        <w:t xml:space="preserve">Since 2004, </w:t>
      </w:r>
      <w:r w:rsidR="007850FE" w:rsidRPr="00E20C3C">
        <w:t xml:space="preserve">I have taught </w:t>
      </w:r>
      <w:r w:rsidRPr="00E20C3C">
        <w:t>Latin and history (and occasionally Greek) at the undergraduate and graduate level</w:t>
      </w:r>
      <w:r w:rsidR="00D95002" w:rsidRPr="00E20C3C">
        <w:t xml:space="preserve"> in lectures, seminars, small groups, and one on one in Germany (in German), the UK, China, and the US.</w:t>
      </w:r>
    </w:p>
    <w:p w14:paraId="241366C1" w14:textId="2291754A" w:rsidR="00987D06" w:rsidRPr="00E20C3C" w:rsidRDefault="00987D06" w:rsidP="00987D06"/>
    <w:p w14:paraId="6C4A20DF" w14:textId="77777777" w:rsidR="00BC5051" w:rsidRPr="00BC5051" w:rsidRDefault="00A409E1" w:rsidP="00A409E1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/>
          <w:sz w:val="24"/>
        </w:rPr>
      </w:pPr>
      <w:r w:rsidRPr="00BC5051">
        <w:rPr>
          <w:bCs/>
          <w:i/>
          <w:sz w:val="24"/>
        </w:rPr>
        <w:t xml:space="preserve">Classical </w:t>
      </w:r>
      <w:r w:rsidR="00731950" w:rsidRPr="00BC5051">
        <w:rPr>
          <w:bCs/>
          <w:i/>
          <w:sz w:val="24"/>
        </w:rPr>
        <w:t>Latin</w:t>
      </w:r>
      <w:r w:rsidRPr="00BC5051">
        <w:rPr>
          <w:bCs/>
          <w:i/>
          <w:sz w:val="24"/>
        </w:rPr>
        <w:t xml:space="preserve"> </w:t>
      </w:r>
    </w:p>
    <w:p w14:paraId="1C5A69F3" w14:textId="62D2935F" w:rsidR="00A409E1" w:rsidRDefault="00BC5051" w:rsidP="00A409E1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>
        <w:rPr>
          <w:bCs/>
          <w:iCs/>
          <w:sz w:val="24"/>
        </w:rPr>
        <w:t>A</w:t>
      </w:r>
      <w:r w:rsidR="00A409E1">
        <w:rPr>
          <w:bCs/>
          <w:iCs/>
          <w:sz w:val="24"/>
        </w:rPr>
        <w:t xml:space="preserve">uthors: Ammianus Marcellinus, </w:t>
      </w:r>
      <w:r w:rsidR="00F431B8">
        <w:rPr>
          <w:bCs/>
          <w:iCs/>
          <w:sz w:val="24"/>
        </w:rPr>
        <w:t xml:space="preserve">Apuleius, </w:t>
      </w:r>
      <w:r w:rsidR="00A409E1">
        <w:rPr>
          <w:bCs/>
          <w:iCs/>
          <w:sz w:val="24"/>
        </w:rPr>
        <w:t xml:space="preserve">Augustine, </w:t>
      </w:r>
      <w:r w:rsidR="00F431B8">
        <w:rPr>
          <w:bCs/>
          <w:iCs/>
          <w:sz w:val="24"/>
        </w:rPr>
        <w:t xml:space="preserve">Catullus, Cicero, </w:t>
      </w:r>
      <w:r w:rsidR="00A409E1">
        <w:rPr>
          <w:bCs/>
          <w:iCs/>
          <w:sz w:val="24"/>
        </w:rPr>
        <w:t xml:space="preserve">Claudian, Horace, Juvenal, Lactantius, </w:t>
      </w:r>
      <w:r>
        <w:rPr>
          <w:bCs/>
          <w:iCs/>
          <w:sz w:val="24"/>
        </w:rPr>
        <w:t xml:space="preserve">Cornelius Nepos, </w:t>
      </w:r>
      <w:r w:rsidR="00BF6ABE">
        <w:rPr>
          <w:bCs/>
          <w:iCs/>
          <w:sz w:val="24"/>
        </w:rPr>
        <w:t>Ovid</w:t>
      </w:r>
      <w:r w:rsidR="007D316B">
        <w:rPr>
          <w:bCs/>
          <w:iCs/>
          <w:sz w:val="24"/>
        </w:rPr>
        <w:t>, Petronius, Sallust</w:t>
      </w:r>
      <w:r w:rsidR="00A409E1">
        <w:rPr>
          <w:bCs/>
          <w:iCs/>
          <w:sz w:val="24"/>
        </w:rPr>
        <w:t xml:space="preserve">, </w:t>
      </w:r>
      <w:r>
        <w:rPr>
          <w:bCs/>
          <w:iCs/>
          <w:sz w:val="24"/>
        </w:rPr>
        <w:t>etc.</w:t>
      </w:r>
    </w:p>
    <w:p w14:paraId="3BB85172" w14:textId="5DCAA579" w:rsidR="000457AF" w:rsidRPr="00BC5051" w:rsidRDefault="00A409E1" w:rsidP="00A409E1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>
        <w:rPr>
          <w:bCs/>
          <w:iCs/>
          <w:sz w:val="24"/>
        </w:rPr>
        <w:t>Themes: ancient t</w:t>
      </w:r>
      <w:r w:rsidR="00E42230" w:rsidRPr="00412A0D">
        <w:rPr>
          <w:bCs/>
          <w:iCs/>
          <w:sz w:val="24"/>
        </w:rPr>
        <w:t xml:space="preserve">ranslation and </w:t>
      </w:r>
      <w:r>
        <w:rPr>
          <w:bCs/>
          <w:iCs/>
          <w:sz w:val="24"/>
        </w:rPr>
        <w:t>c</w:t>
      </w:r>
      <w:r w:rsidR="00E42230" w:rsidRPr="00412A0D">
        <w:rPr>
          <w:bCs/>
          <w:iCs/>
          <w:sz w:val="24"/>
        </w:rPr>
        <w:t>riticism</w:t>
      </w:r>
      <w:r>
        <w:rPr>
          <w:bCs/>
          <w:iCs/>
          <w:sz w:val="24"/>
        </w:rPr>
        <w:t xml:space="preserve">, </w:t>
      </w:r>
      <w:r w:rsidR="00BC5051">
        <w:rPr>
          <w:bCs/>
          <w:iCs/>
          <w:sz w:val="24"/>
        </w:rPr>
        <w:t xml:space="preserve">introduction to Latin grammar, </w:t>
      </w:r>
      <w:r>
        <w:rPr>
          <w:bCs/>
          <w:iCs/>
          <w:sz w:val="24"/>
        </w:rPr>
        <w:t xml:space="preserve">late antique literature, </w:t>
      </w:r>
      <w:r w:rsidR="007D316B">
        <w:rPr>
          <w:bCs/>
          <w:iCs/>
          <w:sz w:val="24"/>
        </w:rPr>
        <w:t xml:space="preserve">Latin </w:t>
      </w:r>
      <w:r>
        <w:rPr>
          <w:bCs/>
          <w:iCs/>
          <w:sz w:val="24"/>
        </w:rPr>
        <w:t>prose composition</w:t>
      </w:r>
      <w:r w:rsidR="00BC5051">
        <w:rPr>
          <w:bCs/>
          <w:iCs/>
          <w:sz w:val="24"/>
        </w:rPr>
        <w:t xml:space="preserve">, Roman mythology, satire, survey </w:t>
      </w:r>
      <w:r w:rsidR="00BC5051">
        <w:rPr>
          <w:bCs/>
          <w:i/>
          <w:sz w:val="24"/>
        </w:rPr>
        <w:t>From Aeneas to Augustus</w:t>
      </w:r>
      <w:r w:rsidR="00BC5051">
        <w:rPr>
          <w:bCs/>
          <w:iCs/>
          <w:sz w:val="24"/>
        </w:rPr>
        <w:t>.</w:t>
      </w:r>
    </w:p>
    <w:p w14:paraId="38D48089" w14:textId="77777777" w:rsidR="00BC5051" w:rsidRDefault="00BC5051" w:rsidP="00A409E1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</w:p>
    <w:p w14:paraId="68CCD454" w14:textId="14FA8FA2" w:rsidR="00BC5051" w:rsidRPr="00BC5051" w:rsidRDefault="007D316B" w:rsidP="00A409E1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/>
          <w:sz w:val="24"/>
        </w:rPr>
      </w:pPr>
      <w:r w:rsidRPr="00BC5051">
        <w:rPr>
          <w:bCs/>
          <w:i/>
          <w:sz w:val="24"/>
        </w:rPr>
        <w:t>Medieval Latin</w:t>
      </w:r>
    </w:p>
    <w:p w14:paraId="1E46893A" w14:textId="7440B792" w:rsidR="007D316B" w:rsidRDefault="00BC5051" w:rsidP="00A409E1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>
        <w:rPr>
          <w:bCs/>
          <w:iCs/>
          <w:sz w:val="24"/>
        </w:rPr>
        <w:t>A</w:t>
      </w:r>
      <w:r w:rsidR="00A409E1">
        <w:rPr>
          <w:bCs/>
          <w:iCs/>
          <w:sz w:val="24"/>
        </w:rPr>
        <w:t>uthors</w:t>
      </w:r>
      <w:r w:rsidR="000457AF">
        <w:rPr>
          <w:bCs/>
          <w:iCs/>
          <w:sz w:val="24"/>
        </w:rPr>
        <w:t>:</w:t>
      </w:r>
      <w:r w:rsidR="007D316B">
        <w:rPr>
          <w:bCs/>
          <w:iCs/>
          <w:sz w:val="24"/>
        </w:rPr>
        <w:t xml:space="preserve"> Abelard</w:t>
      </w:r>
      <w:r w:rsidR="000457AF">
        <w:rPr>
          <w:bCs/>
          <w:iCs/>
          <w:sz w:val="24"/>
        </w:rPr>
        <w:t xml:space="preserve">, </w:t>
      </w:r>
      <w:r w:rsidR="000457AF">
        <w:rPr>
          <w:bCs/>
          <w:i/>
          <w:sz w:val="24"/>
        </w:rPr>
        <w:t>Historia Calamitatum</w:t>
      </w:r>
      <w:r w:rsidR="00A409E1" w:rsidRPr="00A409E1">
        <w:rPr>
          <w:bCs/>
          <w:iCs/>
          <w:sz w:val="24"/>
        </w:rPr>
        <w:t xml:space="preserve">; </w:t>
      </w:r>
      <w:r w:rsidR="00897794">
        <w:rPr>
          <w:bCs/>
          <w:iCs/>
          <w:sz w:val="24"/>
        </w:rPr>
        <w:t>Berengar of Poitiers,</w:t>
      </w:r>
      <w:r w:rsidR="000457AF">
        <w:rPr>
          <w:bCs/>
          <w:iCs/>
          <w:sz w:val="24"/>
        </w:rPr>
        <w:t xml:space="preserve"> </w:t>
      </w:r>
      <w:r w:rsidR="000457AF">
        <w:rPr>
          <w:bCs/>
          <w:i/>
          <w:sz w:val="24"/>
        </w:rPr>
        <w:t>Apologeticus</w:t>
      </w:r>
      <w:r w:rsidR="00A409E1">
        <w:rPr>
          <w:bCs/>
          <w:iCs/>
          <w:sz w:val="24"/>
        </w:rPr>
        <w:t>;</w:t>
      </w:r>
      <w:r w:rsidR="000457AF">
        <w:rPr>
          <w:bCs/>
          <w:iCs/>
          <w:sz w:val="24"/>
        </w:rPr>
        <w:br/>
      </w:r>
      <w:r w:rsidR="007D316B">
        <w:rPr>
          <w:bCs/>
          <w:iCs/>
          <w:sz w:val="24"/>
        </w:rPr>
        <w:t>Bernard of Clairvaux,</w:t>
      </w:r>
      <w:r w:rsidR="00ED70A0">
        <w:rPr>
          <w:bCs/>
          <w:iCs/>
          <w:sz w:val="24"/>
        </w:rPr>
        <w:t xml:space="preserve"> </w:t>
      </w:r>
      <w:r w:rsidR="00ED70A0">
        <w:rPr>
          <w:bCs/>
          <w:i/>
          <w:sz w:val="24"/>
        </w:rPr>
        <w:t>Sermones super Cantica Canticorum</w:t>
      </w:r>
      <w:r w:rsidR="00A409E1">
        <w:rPr>
          <w:bCs/>
          <w:iCs/>
          <w:sz w:val="24"/>
        </w:rPr>
        <w:t xml:space="preserve">; </w:t>
      </w:r>
      <w:r w:rsidR="00ED70A0">
        <w:rPr>
          <w:bCs/>
          <w:iCs/>
          <w:sz w:val="24"/>
        </w:rPr>
        <w:t xml:space="preserve">Erasmus, </w:t>
      </w:r>
      <w:r w:rsidR="00ED70A0">
        <w:rPr>
          <w:bCs/>
          <w:i/>
          <w:sz w:val="24"/>
        </w:rPr>
        <w:t>Ciceronianus</w:t>
      </w:r>
      <w:r w:rsidR="00A409E1">
        <w:rPr>
          <w:bCs/>
          <w:iCs/>
          <w:sz w:val="24"/>
        </w:rPr>
        <w:t xml:space="preserve">; </w:t>
      </w:r>
      <w:r w:rsidR="007D316B">
        <w:rPr>
          <w:bCs/>
          <w:iCs/>
          <w:sz w:val="24"/>
        </w:rPr>
        <w:t xml:space="preserve">Hildegard of Bingen, </w:t>
      </w:r>
      <w:r w:rsidR="00ED70A0">
        <w:rPr>
          <w:bCs/>
          <w:i/>
          <w:sz w:val="24"/>
        </w:rPr>
        <w:t>Scivias</w:t>
      </w:r>
      <w:r w:rsidR="00A409E1">
        <w:rPr>
          <w:bCs/>
          <w:iCs/>
          <w:sz w:val="24"/>
        </w:rPr>
        <w:t xml:space="preserve">; </w:t>
      </w:r>
      <w:r w:rsidR="007D316B">
        <w:rPr>
          <w:bCs/>
          <w:iCs/>
          <w:sz w:val="24"/>
        </w:rPr>
        <w:t xml:space="preserve">Mechthild of Magdeburg, </w:t>
      </w:r>
      <w:r w:rsidR="00A409E1">
        <w:rPr>
          <w:bCs/>
          <w:i/>
          <w:sz w:val="24"/>
        </w:rPr>
        <w:t>Lux divinitatis</w:t>
      </w:r>
      <w:r w:rsidR="00A409E1">
        <w:rPr>
          <w:bCs/>
          <w:iCs/>
          <w:sz w:val="24"/>
        </w:rPr>
        <w:t xml:space="preserve">; </w:t>
      </w:r>
      <w:r w:rsidR="007D316B">
        <w:rPr>
          <w:bCs/>
          <w:iCs/>
          <w:sz w:val="24"/>
        </w:rPr>
        <w:t>Thomas a Kempis</w:t>
      </w:r>
      <w:r w:rsidR="00ED70A0">
        <w:rPr>
          <w:bCs/>
          <w:iCs/>
          <w:sz w:val="24"/>
        </w:rPr>
        <w:t xml:space="preserve">, </w:t>
      </w:r>
      <w:r w:rsidR="00ED70A0">
        <w:rPr>
          <w:bCs/>
          <w:i/>
          <w:sz w:val="24"/>
        </w:rPr>
        <w:t>Imitatio Christi</w:t>
      </w:r>
      <w:r w:rsidR="00A409E1">
        <w:rPr>
          <w:bCs/>
          <w:iCs/>
          <w:sz w:val="24"/>
        </w:rPr>
        <w:t xml:space="preserve">, and various other </w:t>
      </w:r>
      <w:r>
        <w:rPr>
          <w:bCs/>
          <w:iCs/>
          <w:sz w:val="24"/>
        </w:rPr>
        <w:t>authors and texts</w:t>
      </w:r>
    </w:p>
    <w:p w14:paraId="37FFAB38" w14:textId="11F2244A" w:rsidR="00BC5051" w:rsidRPr="00412A0D" w:rsidRDefault="00BC5051" w:rsidP="00A409E1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>
        <w:rPr>
          <w:bCs/>
          <w:iCs/>
          <w:sz w:val="24"/>
        </w:rPr>
        <w:t>Themes: introduction to Medieval Latin grammar; medieval Latin mystics, survey of Medieval Latin literature</w:t>
      </w:r>
    </w:p>
    <w:p w14:paraId="7DDE2616" w14:textId="77777777" w:rsidR="00BC5051" w:rsidRDefault="00BC5051" w:rsidP="000457AF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</w:p>
    <w:p w14:paraId="365B53D5" w14:textId="77777777" w:rsidR="00BC5051" w:rsidRDefault="00BC5051" w:rsidP="000457AF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 w:rsidRPr="00BC5051">
        <w:rPr>
          <w:bCs/>
          <w:i/>
          <w:sz w:val="24"/>
        </w:rPr>
        <w:t xml:space="preserve">Classical </w:t>
      </w:r>
      <w:r w:rsidR="00E42230" w:rsidRPr="00BC5051">
        <w:rPr>
          <w:bCs/>
          <w:i/>
          <w:sz w:val="24"/>
        </w:rPr>
        <w:t>Greek</w:t>
      </w:r>
    </w:p>
    <w:p w14:paraId="3DC00802" w14:textId="6BF1BD65" w:rsidR="0040107B" w:rsidRDefault="00BC5051" w:rsidP="000457AF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>
        <w:rPr>
          <w:bCs/>
          <w:iCs/>
          <w:sz w:val="24"/>
        </w:rPr>
        <w:t xml:space="preserve">Authors: </w:t>
      </w:r>
      <w:r w:rsidR="007150CA" w:rsidRPr="00BC5051">
        <w:rPr>
          <w:bCs/>
          <w:iCs/>
          <w:sz w:val="24"/>
        </w:rPr>
        <w:t>Lucian</w:t>
      </w:r>
      <w:r w:rsidR="000457AF" w:rsidRPr="00BC5051">
        <w:rPr>
          <w:bCs/>
          <w:iCs/>
          <w:sz w:val="24"/>
        </w:rPr>
        <w:t>,</w:t>
      </w:r>
      <w:r w:rsidR="00F431B8" w:rsidRPr="00BC5051">
        <w:rPr>
          <w:bCs/>
          <w:iCs/>
          <w:sz w:val="24"/>
        </w:rPr>
        <w:t xml:space="preserve"> </w:t>
      </w:r>
      <w:r w:rsidR="007D316B">
        <w:rPr>
          <w:bCs/>
          <w:iCs/>
          <w:sz w:val="24"/>
        </w:rPr>
        <w:t>Plutarch</w:t>
      </w:r>
      <w:r>
        <w:rPr>
          <w:bCs/>
          <w:iCs/>
          <w:sz w:val="24"/>
        </w:rPr>
        <w:t>, Roman imperial historians</w:t>
      </w:r>
    </w:p>
    <w:p w14:paraId="5A770838" w14:textId="77777777" w:rsidR="00BC5051" w:rsidRPr="000457AF" w:rsidRDefault="00BC5051" w:rsidP="000457AF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/>
          <w:sz w:val="24"/>
        </w:rPr>
      </w:pPr>
    </w:p>
    <w:p w14:paraId="004A6E66" w14:textId="712D12C9" w:rsidR="00E42230" w:rsidRDefault="00F431B8" w:rsidP="00C460A0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>
        <w:rPr>
          <w:bCs/>
          <w:i/>
          <w:sz w:val="24"/>
        </w:rPr>
        <w:lastRenderedPageBreak/>
        <w:t>H</w:t>
      </w:r>
      <w:r w:rsidR="0040107B" w:rsidRPr="00412A0D">
        <w:rPr>
          <w:bCs/>
          <w:i/>
          <w:sz w:val="24"/>
        </w:rPr>
        <w:t>istory</w:t>
      </w:r>
      <w:r>
        <w:rPr>
          <w:bCs/>
          <w:i/>
          <w:sz w:val="24"/>
        </w:rPr>
        <w:t xml:space="preserve"> and L</w:t>
      </w:r>
      <w:r w:rsidR="00987D06" w:rsidRPr="00412A0D">
        <w:rPr>
          <w:bCs/>
          <w:i/>
          <w:sz w:val="24"/>
        </w:rPr>
        <w:t>iterature</w:t>
      </w:r>
      <w:r w:rsidR="00BC5051">
        <w:rPr>
          <w:bCs/>
          <w:iCs/>
          <w:sz w:val="24"/>
        </w:rPr>
        <w:t xml:space="preserve">: </w:t>
      </w:r>
      <w:r>
        <w:rPr>
          <w:bCs/>
          <w:iCs/>
          <w:sz w:val="24"/>
        </w:rPr>
        <w:t>T</w:t>
      </w:r>
      <w:r w:rsidR="00E42230" w:rsidRPr="00412A0D">
        <w:rPr>
          <w:bCs/>
          <w:iCs/>
          <w:sz w:val="24"/>
        </w:rPr>
        <w:t xml:space="preserve">he </w:t>
      </w:r>
      <w:r w:rsidR="0040107B" w:rsidRPr="00412A0D">
        <w:rPr>
          <w:bCs/>
          <w:iCs/>
          <w:sz w:val="24"/>
        </w:rPr>
        <w:t>Age of Cicero</w:t>
      </w:r>
      <w:r w:rsidR="00BC5051">
        <w:rPr>
          <w:bCs/>
          <w:iCs/>
          <w:sz w:val="24"/>
        </w:rPr>
        <w:t xml:space="preserve">, </w:t>
      </w:r>
      <w:r w:rsidR="00BC5051" w:rsidRPr="00412A0D">
        <w:rPr>
          <w:bCs/>
          <w:iCs/>
          <w:sz w:val="24"/>
        </w:rPr>
        <w:t>Constantinian Dynasty</w:t>
      </w:r>
      <w:r w:rsidR="00BC5051">
        <w:rPr>
          <w:bCs/>
          <w:iCs/>
          <w:sz w:val="24"/>
        </w:rPr>
        <w:t xml:space="preserve"> (the 4th century AD), Roman religion, the </w:t>
      </w:r>
      <w:r w:rsidR="00BC5051" w:rsidRPr="00412A0D">
        <w:rPr>
          <w:bCs/>
          <w:iCs/>
          <w:sz w:val="24"/>
        </w:rPr>
        <w:t>Roman Republic</w:t>
      </w:r>
      <w:r w:rsidR="00BC5051">
        <w:rPr>
          <w:bCs/>
          <w:iCs/>
          <w:sz w:val="24"/>
        </w:rPr>
        <w:t xml:space="preserve">, </w:t>
      </w:r>
      <w:r w:rsidR="00C460A0">
        <w:rPr>
          <w:bCs/>
          <w:iCs/>
          <w:sz w:val="24"/>
        </w:rPr>
        <w:t xml:space="preserve">Sources and Methodology Proseminar for Ancient Historians (Heidelberg); Western Civilization and Historical Sources (Beijing); </w:t>
      </w:r>
      <w:r w:rsidR="00BC5051">
        <w:rPr>
          <w:bCs/>
          <w:iCs/>
          <w:sz w:val="24"/>
        </w:rPr>
        <w:t>t</w:t>
      </w:r>
      <w:r w:rsidR="00BF6ABE">
        <w:rPr>
          <w:bCs/>
          <w:iCs/>
          <w:sz w:val="24"/>
        </w:rPr>
        <w:t>he World of Catullus</w:t>
      </w:r>
      <w:r w:rsidR="00C460A0">
        <w:rPr>
          <w:bCs/>
          <w:iCs/>
          <w:sz w:val="24"/>
        </w:rPr>
        <w:t>.</w:t>
      </w:r>
      <w:r w:rsidR="00BF6ABE">
        <w:rPr>
          <w:bCs/>
          <w:iCs/>
          <w:sz w:val="24"/>
        </w:rPr>
        <w:br/>
      </w:r>
    </w:p>
    <w:p w14:paraId="43B5353D" w14:textId="012A8384" w:rsidR="00C4668A" w:rsidRDefault="00C4668A" w:rsidP="00412A0D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Service</w:t>
      </w:r>
    </w:p>
    <w:p w14:paraId="017B4C0A" w14:textId="77777777" w:rsidR="00C4668A" w:rsidRDefault="00C4668A" w:rsidP="00C4668A">
      <w:pPr>
        <w:pStyle w:val="BodyTextIndent2"/>
        <w:tabs>
          <w:tab w:val="left" w:pos="540"/>
          <w:tab w:val="left" w:pos="108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>
        <w:rPr>
          <w:bCs/>
          <w:iCs/>
          <w:sz w:val="24"/>
        </w:rPr>
        <w:t>Heidelberg</w:t>
      </w:r>
      <w:r w:rsidRPr="00412A0D">
        <w:rPr>
          <w:bCs/>
          <w:iCs/>
          <w:sz w:val="24"/>
        </w:rPr>
        <w:t xml:space="preserve">: </w:t>
      </w:r>
      <w:r>
        <w:rPr>
          <w:bCs/>
          <w:iCs/>
          <w:sz w:val="24"/>
        </w:rPr>
        <w:t>Stellvertretender Assistant (acting assistant)</w:t>
      </w:r>
    </w:p>
    <w:p w14:paraId="0B0449F2" w14:textId="77777777" w:rsidR="00C4668A" w:rsidRDefault="00C4668A" w:rsidP="00C4668A">
      <w:pPr>
        <w:pStyle w:val="BodyTextIndent2"/>
        <w:tabs>
          <w:tab w:val="left" w:pos="540"/>
          <w:tab w:val="left" w:pos="108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>
        <w:rPr>
          <w:bCs/>
          <w:iCs/>
          <w:sz w:val="24"/>
        </w:rPr>
        <w:t>Exeter: Internationalization Officer, Employability Officer, Director of the MA in Roman Myth</w:t>
      </w:r>
    </w:p>
    <w:p w14:paraId="715E02F8" w14:textId="45308F82" w:rsidR="00897794" w:rsidRDefault="00C4668A" w:rsidP="00C4668A">
      <w:pPr>
        <w:pStyle w:val="BodyTextIndent2"/>
        <w:tabs>
          <w:tab w:val="left" w:pos="540"/>
          <w:tab w:val="left" w:pos="108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>
        <w:rPr>
          <w:bCs/>
          <w:iCs/>
          <w:sz w:val="24"/>
        </w:rPr>
        <w:t>Yale, Classics: Curriculum Committee</w:t>
      </w:r>
      <w:r w:rsidR="001F13C3">
        <w:rPr>
          <w:bCs/>
          <w:iCs/>
          <w:sz w:val="24"/>
        </w:rPr>
        <w:t>, g</w:t>
      </w:r>
      <w:r>
        <w:rPr>
          <w:bCs/>
          <w:iCs/>
          <w:sz w:val="24"/>
        </w:rPr>
        <w:t xml:space="preserve">raduate </w:t>
      </w:r>
      <w:r w:rsidR="001F13C3">
        <w:rPr>
          <w:bCs/>
          <w:iCs/>
          <w:sz w:val="24"/>
        </w:rPr>
        <w:t>s</w:t>
      </w:r>
      <w:r>
        <w:rPr>
          <w:bCs/>
          <w:iCs/>
          <w:sz w:val="24"/>
        </w:rPr>
        <w:t xml:space="preserve">tudent </w:t>
      </w:r>
      <w:r w:rsidR="001F13C3">
        <w:rPr>
          <w:bCs/>
          <w:iCs/>
          <w:sz w:val="24"/>
        </w:rPr>
        <w:t>m</w:t>
      </w:r>
      <w:r>
        <w:rPr>
          <w:bCs/>
          <w:iCs/>
          <w:sz w:val="24"/>
        </w:rPr>
        <w:t xml:space="preserve">entor and </w:t>
      </w:r>
      <w:r w:rsidR="001F13C3">
        <w:rPr>
          <w:bCs/>
          <w:iCs/>
          <w:sz w:val="24"/>
        </w:rPr>
        <w:t>t</w:t>
      </w:r>
      <w:r>
        <w:rPr>
          <w:bCs/>
          <w:iCs/>
          <w:sz w:val="24"/>
        </w:rPr>
        <w:t>utor</w:t>
      </w:r>
      <w:r w:rsidR="001F13C3">
        <w:rPr>
          <w:bCs/>
          <w:iCs/>
          <w:sz w:val="24"/>
        </w:rPr>
        <w:t>, a</w:t>
      </w:r>
      <w:r>
        <w:rPr>
          <w:bCs/>
          <w:iCs/>
          <w:sz w:val="24"/>
        </w:rPr>
        <w:t>ssistant to the Language Program Director</w:t>
      </w:r>
      <w:r w:rsidR="001F13C3">
        <w:rPr>
          <w:bCs/>
          <w:iCs/>
          <w:sz w:val="24"/>
        </w:rPr>
        <w:t>, t</w:t>
      </w:r>
      <w:r w:rsidR="00897794">
        <w:rPr>
          <w:bCs/>
          <w:iCs/>
          <w:sz w:val="24"/>
        </w:rPr>
        <w:t>ranslation prize judge</w:t>
      </w:r>
    </w:p>
    <w:p w14:paraId="50FF063F" w14:textId="19987DA3" w:rsidR="00C4668A" w:rsidRDefault="00897794" w:rsidP="00C4668A">
      <w:pPr>
        <w:pStyle w:val="BodyTextIndent2"/>
        <w:tabs>
          <w:tab w:val="left" w:pos="540"/>
          <w:tab w:val="left" w:pos="1080"/>
        </w:tabs>
        <w:spacing w:after="120" w:line="360" w:lineRule="auto"/>
        <w:ind w:left="540" w:hanging="270"/>
        <w:contextualSpacing/>
      </w:pPr>
      <w:r>
        <w:rPr>
          <w:bCs/>
          <w:iCs/>
          <w:sz w:val="24"/>
        </w:rPr>
        <w:t xml:space="preserve">Yale, </w:t>
      </w:r>
      <w:r w:rsidR="00C4668A">
        <w:rPr>
          <w:bCs/>
          <w:iCs/>
          <w:sz w:val="24"/>
        </w:rPr>
        <w:t xml:space="preserve">Medieval Studies: Core </w:t>
      </w:r>
      <w:r w:rsidR="001F13C3">
        <w:rPr>
          <w:bCs/>
          <w:iCs/>
          <w:sz w:val="24"/>
        </w:rPr>
        <w:t>f</w:t>
      </w:r>
      <w:r w:rsidR="00C4668A">
        <w:rPr>
          <w:bCs/>
          <w:iCs/>
          <w:sz w:val="24"/>
        </w:rPr>
        <w:t>acult</w:t>
      </w:r>
      <w:r>
        <w:rPr>
          <w:bCs/>
          <w:iCs/>
          <w:sz w:val="24"/>
        </w:rPr>
        <w:t>y</w:t>
      </w:r>
      <w:r w:rsidR="001F13C3">
        <w:rPr>
          <w:bCs/>
          <w:iCs/>
          <w:sz w:val="24"/>
        </w:rPr>
        <w:t xml:space="preserve">, </w:t>
      </w:r>
      <w:r w:rsidR="00C4668A">
        <w:rPr>
          <w:bCs/>
          <w:iCs/>
          <w:sz w:val="24"/>
        </w:rPr>
        <w:t>Curriculum Committee</w:t>
      </w:r>
      <w:r w:rsidR="001F13C3">
        <w:rPr>
          <w:bCs/>
          <w:iCs/>
          <w:sz w:val="24"/>
        </w:rPr>
        <w:t xml:space="preserve">, </w:t>
      </w:r>
      <w:r w:rsidR="00C4668A">
        <w:rPr>
          <w:bCs/>
          <w:iCs/>
          <w:sz w:val="24"/>
        </w:rPr>
        <w:t>Graduate Admissions Committee</w:t>
      </w:r>
      <w:r w:rsidR="001F13C3">
        <w:rPr>
          <w:bCs/>
          <w:iCs/>
          <w:sz w:val="24"/>
        </w:rPr>
        <w:t xml:space="preserve">, Medieval </w:t>
      </w:r>
      <w:r w:rsidR="00C4668A">
        <w:rPr>
          <w:bCs/>
          <w:iCs/>
          <w:sz w:val="24"/>
        </w:rPr>
        <w:t xml:space="preserve">Latin </w:t>
      </w:r>
      <w:r w:rsidR="001F13C3">
        <w:rPr>
          <w:bCs/>
          <w:iCs/>
          <w:sz w:val="24"/>
        </w:rPr>
        <w:t>l</w:t>
      </w:r>
      <w:r w:rsidR="00C4668A">
        <w:rPr>
          <w:bCs/>
          <w:iCs/>
          <w:sz w:val="24"/>
        </w:rPr>
        <w:t xml:space="preserve">anguage </w:t>
      </w:r>
      <w:r w:rsidR="001F13C3">
        <w:rPr>
          <w:bCs/>
          <w:iCs/>
          <w:sz w:val="24"/>
        </w:rPr>
        <w:t>e</w:t>
      </w:r>
      <w:r w:rsidR="00C4668A">
        <w:rPr>
          <w:bCs/>
          <w:iCs/>
          <w:sz w:val="24"/>
        </w:rPr>
        <w:t>xaminer</w:t>
      </w:r>
    </w:p>
    <w:p w14:paraId="3454D723" w14:textId="77777777" w:rsidR="00C4668A" w:rsidRPr="00C4668A" w:rsidRDefault="00C4668A" w:rsidP="00C4668A"/>
    <w:p w14:paraId="58092E3E" w14:textId="157EFCCE" w:rsidR="0040107B" w:rsidRPr="00412A0D" w:rsidRDefault="0040107B" w:rsidP="00412A0D">
      <w:pPr>
        <w:pStyle w:val="Heading1"/>
        <w:rPr>
          <w:sz w:val="28"/>
          <w:szCs w:val="28"/>
        </w:rPr>
      </w:pPr>
      <w:r w:rsidRPr="00412A0D">
        <w:rPr>
          <w:sz w:val="28"/>
          <w:szCs w:val="28"/>
        </w:rPr>
        <w:t>Languages</w:t>
      </w:r>
    </w:p>
    <w:p w14:paraId="733FF6C2" w14:textId="37934011" w:rsidR="0040107B" w:rsidRPr="00412A0D" w:rsidRDefault="0040107B" w:rsidP="00F431B8">
      <w:pPr>
        <w:pStyle w:val="BodyTextIndent2"/>
        <w:tabs>
          <w:tab w:val="left" w:pos="540"/>
          <w:tab w:val="left" w:pos="108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 w:rsidRPr="00412A0D">
        <w:rPr>
          <w:bCs/>
          <w:iCs/>
          <w:sz w:val="24"/>
        </w:rPr>
        <w:t xml:space="preserve">Scholarly: </w:t>
      </w:r>
      <w:r w:rsidR="001F13C3">
        <w:rPr>
          <w:bCs/>
          <w:iCs/>
          <w:sz w:val="24"/>
        </w:rPr>
        <w:t xml:space="preserve">Classical and Medieval </w:t>
      </w:r>
      <w:r w:rsidRPr="00412A0D">
        <w:rPr>
          <w:bCs/>
          <w:iCs/>
          <w:sz w:val="24"/>
        </w:rPr>
        <w:t>Latin</w:t>
      </w:r>
      <w:r w:rsidR="001F13C3">
        <w:rPr>
          <w:bCs/>
          <w:iCs/>
          <w:sz w:val="24"/>
        </w:rPr>
        <w:t xml:space="preserve">, </w:t>
      </w:r>
      <w:r w:rsidRPr="00412A0D">
        <w:rPr>
          <w:bCs/>
          <w:iCs/>
          <w:sz w:val="24"/>
        </w:rPr>
        <w:t>Ancient Greek</w:t>
      </w:r>
      <w:r w:rsidR="00BF6ABE">
        <w:rPr>
          <w:bCs/>
          <w:iCs/>
          <w:sz w:val="24"/>
        </w:rPr>
        <w:t xml:space="preserve"> (Homer to Justinian)</w:t>
      </w:r>
      <w:r w:rsidR="001F13C3">
        <w:rPr>
          <w:bCs/>
          <w:iCs/>
          <w:sz w:val="24"/>
        </w:rPr>
        <w:t xml:space="preserve">, </w:t>
      </w:r>
      <w:r w:rsidRPr="00412A0D">
        <w:rPr>
          <w:bCs/>
          <w:iCs/>
          <w:sz w:val="24"/>
        </w:rPr>
        <w:t xml:space="preserve">Medieval </w:t>
      </w:r>
      <w:r w:rsidR="00C4668A">
        <w:rPr>
          <w:bCs/>
          <w:iCs/>
          <w:sz w:val="24"/>
        </w:rPr>
        <w:t xml:space="preserve">High </w:t>
      </w:r>
      <w:r w:rsidRPr="00412A0D">
        <w:rPr>
          <w:bCs/>
          <w:iCs/>
          <w:sz w:val="24"/>
        </w:rPr>
        <w:t>German</w:t>
      </w:r>
    </w:p>
    <w:p w14:paraId="75C57725" w14:textId="5D793D7B" w:rsidR="0040107B" w:rsidRPr="00412A0D" w:rsidRDefault="0040107B" w:rsidP="00CB6DFE">
      <w:pPr>
        <w:pStyle w:val="BodyTextIndent2"/>
        <w:tabs>
          <w:tab w:val="left" w:pos="108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 w:rsidRPr="00412A0D">
        <w:rPr>
          <w:bCs/>
          <w:iCs/>
          <w:sz w:val="24"/>
        </w:rPr>
        <w:t>Modern: English, German (fluent)</w:t>
      </w:r>
      <w:r w:rsidR="001F13C3">
        <w:rPr>
          <w:bCs/>
          <w:iCs/>
          <w:sz w:val="24"/>
        </w:rPr>
        <w:t xml:space="preserve">; </w:t>
      </w:r>
      <w:r w:rsidRPr="00412A0D">
        <w:rPr>
          <w:bCs/>
          <w:iCs/>
          <w:sz w:val="24"/>
        </w:rPr>
        <w:t>French, Italian (proficient)</w:t>
      </w:r>
      <w:r w:rsidR="001F13C3">
        <w:rPr>
          <w:bCs/>
          <w:iCs/>
          <w:sz w:val="24"/>
        </w:rPr>
        <w:t xml:space="preserve">; </w:t>
      </w:r>
      <w:r w:rsidRPr="00412A0D">
        <w:rPr>
          <w:bCs/>
          <w:iCs/>
          <w:sz w:val="24"/>
        </w:rPr>
        <w:t>Spanish (reading)</w:t>
      </w:r>
      <w:r w:rsidR="001F13C3">
        <w:rPr>
          <w:bCs/>
          <w:iCs/>
          <w:sz w:val="24"/>
        </w:rPr>
        <w:t xml:space="preserve">; </w:t>
      </w:r>
      <w:r w:rsidRPr="00412A0D">
        <w:rPr>
          <w:bCs/>
          <w:iCs/>
          <w:sz w:val="24"/>
        </w:rPr>
        <w:t xml:space="preserve">Mandarin Chinese (basic </w:t>
      </w:r>
      <w:r w:rsidR="00BF6ABE">
        <w:rPr>
          <w:bCs/>
          <w:iCs/>
          <w:sz w:val="24"/>
        </w:rPr>
        <w:t>conversation</w:t>
      </w:r>
      <w:r w:rsidRPr="00412A0D">
        <w:rPr>
          <w:bCs/>
          <w:iCs/>
          <w:sz w:val="24"/>
        </w:rPr>
        <w:t>)</w:t>
      </w:r>
    </w:p>
    <w:p w14:paraId="4B2887FE" w14:textId="77777777" w:rsidR="00412A0D" w:rsidRPr="00412A0D" w:rsidRDefault="00412A0D" w:rsidP="00CB6DFE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</w:p>
    <w:p w14:paraId="3D4978FD" w14:textId="04B21694" w:rsidR="007C1E77" w:rsidRPr="00412A0D" w:rsidRDefault="007C1E77" w:rsidP="007C1E77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Current projects</w:t>
      </w:r>
    </w:p>
    <w:p w14:paraId="1A58F01E" w14:textId="72FFB64C" w:rsidR="00E755CE" w:rsidRPr="00E755CE" w:rsidRDefault="007C1E77" w:rsidP="00C47AEF">
      <w:pPr>
        <w:spacing w:after="120" w:line="360" w:lineRule="auto"/>
        <w:ind w:left="547" w:hanging="187"/>
        <w:rPr>
          <w:i/>
          <w:iCs/>
        </w:rPr>
      </w:pPr>
      <w:r w:rsidRPr="00BF6ABE">
        <w:rPr>
          <w:i/>
          <w:iCs/>
        </w:rPr>
        <w:t>The Theodosian Code.</w:t>
      </w:r>
      <w:r w:rsidRPr="007C1E77">
        <w:t xml:space="preserve"> </w:t>
      </w:r>
      <w:r w:rsidR="00BF6ABE">
        <w:t xml:space="preserve">Forthcoming with </w:t>
      </w:r>
      <w:r w:rsidRPr="007C1E77">
        <w:t>Cambridge University Press.</w:t>
      </w:r>
      <w:r w:rsidRPr="007C1E77">
        <w:br/>
      </w:r>
      <w:r w:rsidRPr="004A6735">
        <w:t>Under contract with Cambridge UP, I am producing a new translation of the codification of Roman imperial law issued by emperor Theodosius II in AD 438</w:t>
      </w:r>
      <w:r w:rsidR="00E20C3C" w:rsidRPr="004A6735">
        <w:t>, in order to</w:t>
      </w:r>
      <w:r w:rsidRPr="004A6735">
        <w:t xml:space="preserve"> replace the outdated translation </w:t>
      </w:r>
      <w:r w:rsidR="00E755CE" w:rsidRPr="004A6735">
        <w:t xml:space="preserve">edited </w:t>
      </w:r>
      <w:r w:rsidRPr="004A6735">
        <w:t>by Clyde Pharr (195</w:t>
      </w:r>
      <w:r w:rsidR="00FE4206">
        <w:t>2</w:t>
      </w:r>
      <w:r w:rsidRPr="004A6735">
        <w:t xml:space="preserve">). </w:t>
      </w:r>
      <w:r w:rsidR="00E20C3C" w:rsidRPr="004A6735">
        <w:t xml:space="preserve">My translation </w:t>
      </w:r>
      <w:r w:rsidRPr="004A6735">
        <w:t xml:space="preserve">will </w:t>
      </w:r>
      <w:r w:rsidR="00E755CE" w:rsidRPr="004A6735">
        <w:t xml:space="preserve">feature a </w:t>
      </w:r>
      <w:r w:rsidRPr="004A6735">
        <w:t>facing Latin text</w:t>
      </w:r>
      <w:r w:rsidR="00E20C3C" w:rsidRPr="004A6735">
        <w:t xml:space="preserve"> with a simplified apparatus criticus</w:t>
      </w:r>
      <w:r w:rsidRPr="004A6735">
        <w:t xml:space="preserve"> and </w:t>
      </w:r>
      <w:r w:rsidR="00E20C3C" w:rsidRPr="004A6735">
        <w:t xml:space="preserve">will </w:t>
      </w:r>
      <w:r w:rsidRPr="004A6735">
        <w:t>include laws recovered from the Code</w:t>
      </w:r>
      <w:r w:rsidR="00E755CE" w:rsidRPr="004A6735">
        <w:t>x</w:t>
      </w:r>
      <w:r w:rsidRPr="004A6735">
        <w:t xml:space="preserve"> Justinianus that Pharr omitted.</w:t>
      </w:r>
      <w:r w:rsidR="00897794">
        <w:t xml:space="preserve"> The manuscript of both text and translation amounts to approximately 1,600 double-spaced pages.</w:t>
      </w:r>
    </w:p>
    <w:p w14:paraId="042132DE" w14:textId="08449B5B" w:rsidR="00E755CE" w:rsidRDefault="00E755CE" w:rsidP="00C47AEF">
      <w:pPr>
        <w:spacing w:after="120" w:line="360" w:lineRule="auto"/>
        <w:ind w:left="547" w:hanging="187"/>
      </w:pPr>
      <w:r>
        <w:rPr>
          <w:i/>
          <w:iCs/>
        </w:rPr>
        <w:t xml:space="preserve">Abelard’s </w:t>
      </w:r>
      <w:r>
        <w:t>Historia calamitatum</w:t>
      </w:r>
      <w:r>
        <w:rPr>
          <w:i/>
          <w:iCs/>
        </w:rPr>
        <w:t xml:space="preserve"> for Learners of Medieval Latin</w:t>
      </w:r>
      <w:r>
        <w:t xml:space="preserve">. </w:t>
      </w:r>
      <w:r>
        <w:br/>
      </w:r>
      <w:r w:rsidRPr="004A6735">
        <w:t xml:space="preserve">I have </w:t>
      </w:r>
      <w:r w:rsidR="00E20C3C" w:rsidRPr="004A6735">
        <w:t>condensed my experience from teaching</w:t>
      </w:r>
      <w:r w:rsidRPr="004A6735">
        <w:t xml:space="preserve"> </w:t>
      </w:r>
      <w:r w:rsidR="00C7095F" w:rsidRPr="004A6735">
        <w:t xml:space="preserve">Medieval Latin </w:t>
      </w:r>
      <w:r w:rsidRPr="004A6735">
        <w:t>at YDS since 201</w:t>
      </w:r>
      <w:r w:rsidR="00C7095F" w:rsidRPr="004A6735">
        <w:t>6</w:t>
      </w:r>
      <w:r w:rsidRPr="004A6735">
        <w:t xml:space="preserve"> into a commentary intended for intermediate readers </w:t>
      </w:r>
      <w:r w:rsidR="00C7095F" w:rsidRPr="004A6735">
        <w:t xml:space="preserve">(e.g. MAR students in History of Christianity, graduate students in Medieval Studies). In contrast to most commentators, I actually explain what makes Medieval Latin distinct and show how it contrasts with Classical Latin, so a diligent student effectively </w:t>
      </w:r>
      <w:r w:rsidR="00E20C3C" w:rsidRPr="004A6735">
        <w:t xml:space="preserve">can </w:t>
      </w:r>
      <w:r w:rsidR="00C7095F" w:rsidRPr="004A6735">
        <w:t>learn both. The manuscript is about two-thirds complete.</w:t>
      </w:r>
    </w:p>
    <w:p w14:paraId="048C7109" w14:textId="77777777" w:rsidR="00E755CE" w:rsidRPr="004A6735" w:rsidRDefault="00E755CE" w:rsidP="00E755CE"/>
    <w:p w14:paraId="6DCC1DB6" w14:textId="609933F0" w:rsidR="007850FE" w:rsidRPr="00412A0D" w:rsidRDefault="007850FE" w:rsidP="00412A0D">
      <w:pPr>
        <w:pStyle w:val="Heading1"/>
        <w:rPr>
          <w:sz w:val="28"/>
          <w:szCs w:val="28"/>
        </w:rPr>
      </w:pPr>
      <w:r w:rsidRPr="00412A0D">
        <w:rPr>
          <w:sz w:val="28"/>
          <w:szCs w:val="28"/>
        </w:rPr>
        <w:t>Publications</w:t>
      </w:r>
    </w:p>
    <w:p w14:paraId="03BE808C" w14:textId="40651AB3" w:rsidR="00981583" w:rsidRPr="00412A0D" w:rsidRDefault="007C1E77" w:rsidP="00412A0D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Monograph/b</w:t>
      </w:r>
      <w:r w:rsidR="00E66328" w:rsidRPr="00412A0D">
        <w:rPr>
          <w:sz w:val="24"/>
          <w:szCs w:val="24"/>
        </w:rPr>
        <w:t>ook-</w:t>
      </w:r>
      <w:r w:rsidR="003A2BC6" w:rsidRPr="00412A0D">
        <w:rPr>
          <w:sz w:val="24"/>
          <w:szCs w:val="24"/>
        </w:rPr>
        <w:t>l</w:t>
      </w:r>
      <w:r w:rsidR="00E66328" w:rsidRPr="00412A0D">
        <w:rPr>
          <w:sz w:val="24"/>
          <w:szCs w:val="24"/>
        </w:rPr>
        <w:t>ength</w:t>
      </w:r>
    </w:p>
    <w:p w14:paraId="728E7A9E" w14:textId="5E34D545" w:rsidR="009F66B8" w:rsidRPr="00412A0D" w:rsidRDefault="009F66B8" w:rsidP="009F66B8">
      <w:pPr>
        <w:pStyle w:val="BodyTextIndent2"/>
        <w:spacing w:after="120" w:line="360" w:lineRule="auto"/>
        <w:ind w:left="548" w:hanging="274"/>
        <w:contextualSpacing/>
        <w:rPr>
          <w:bCs/>
          <w:iCs/>
          <w:sz w:val="24"/>
        </w:rPr>
      </w:pPr>
      <w:r w:rsidRPr="00412A0D">
        <w:rPr>
          <w:bCs/>
          <w:i/>
          <w:sz w:val="24"/>
        </w:rPr>
        <w:t>The Justice of Constantine: Law, Communication, and Control</w:t>
      </w:r>
      <w:r w:rsidRPr="00412A0D">
        <w:rPr>
          <w:bCs/>
          <w:iCs/>
          <w:sz w:val="24"/>
        </w:rPr>
        <w:t>. University of Michigan Press, 2012. Pp. xiv, 295.</w:t>
      </w:r>
    </w:p>
    <w:p w14:paraId="42AEE3D6" w14:textId="72FE1332" w:rsidR="00412A0D" w:rsidRPr="00412A0D" w:rsidRDefault="00575232" w:rsidP="008723FF">
      <w:pPr>
        <w:pStyle w:val="BodyTextIndent2"/>
        <w:spacing w:after="120" w:line="360" w:lineRule="auto"/>
        <w:ind w:left="548" w:hanging="274"/>
        <w:contextualSpacing/>
        <w:rPr>
          <w:sz w:val="24"/>
        </w:rPr>
      </w:pPr>
      <w:r w:rsidRPr="00412A0D">
        <w:rPr>
          <w:iCs/>
          <w:sz w:val="24"/>
        </w:rPr>
        <w:t xml:space="preserve">Trans. and ed. </w:t>
      </w:r>
      <w:r w:rsidR="007C53B1" w:rsidRPr="00412A0D">
        <w:rPr>
          <w:iCs/>
          <w:sz w:val="24"/>
        </w:rPr>
        <w:t>“Introductory Constitutions”</w:t>
      </w:r>
      <w:r w:rsidR="007C53B1" w:rsidRPr="00412A0D">
        <w:rPr>
          <w:i/>
          <w:sz w:val="24"/>
        </w:rPr>
        <w:t xml:space="preserve"> </w:t>
      </w:r>
      <w:r w:rsidR="007C53B1" w:rsidRPr="00412A0D">
        <w:rPr>
          <w:sz w:val="24"/>
        </w:rPr>
        <w:t xml:space="preserve">and </w:t>
      </w:r>
      <w:r w:rsidR="007C53B1" w:rsidRPr="00412A0D">
        <w:rPr>
          <w:iCs/>
          <w:sz w:val="24"/>
        </w:rPr>
        <w:t>“First Book</w:t>
      </w:r>
      <w:r w:rsidRPr="00412A0D">
        <w:rPr>
          <w:iCs/>
          <w:sz w:val="24"/>
        </w:rPr>
        <w:t>.</w:t>
      </w:r>
      <w:r w:rsidR="007C53B1" w:rsidRPr="00412A0D">
        <w:rPr>
          <w:iCs/>
          <w:sz w:val="24"/>
        </w:rPr>
        <w:t xml:space="preserve">” </w:t>
      </w:r>
      <w:r w:rsidRPr="00412A0D">
        <w:rPr>
          <w:sz w:val="24"/>
        </w:rPr>
        <w:t xml:space="preserve">In </w:t>
      </w:r>
      <w:r w:rsidR="007C53B1" w:rsidRPr="00412A0D">
        <w:rPr>
          <w:i/>
          <w:sz w:val="24"/>
        </w:rPr>
        <w:t>The Code of Justinian: A New Annotated Translation, with Parallel Latin and Greek</w:t>
      </w:r>
      <w:r w:rsidR="007C53B1" w:rsidRPr="00412A0D">
        <w:rPr>
          <w:sz w:val="24"/>
        </w:rPr>
        <w:t>, vol. 1, ed. Bruce W. Frier</w:t>
      </w:r>
      <w:r w:rsidRPr="00412A0D">
        <w:rPr>
          <w:sz w:val="24"/>
        </w:rPr>
        <w:t>,</w:t>
      </w:r>
      <w:r w:rsidR="007C53B1" w:rsidRPr="00412A0D">
        <w:rPr>
          <w:sz w:val="24"/>
        </w:rPr>
        <w:t xml:space="preserve"> </w:t>
      </w:r>
      <w:r w:rsidRPr="00412A0D">
        <w:rPr>
          <w:sz w:val="24"/>
        </w:rPr>
        <w:t>1</w:t>
      </w:r>
      <w:r w:rsidRPr="00412A0D">
        <w:t>–</w:t>
      </w:r>
      <w:r w:rsidRPr="00412A0D">
        <w:rPr>
          <w:sz w:val="24"/>
        </w:rPr>
        <w:t xml:space="preserve">405. </w:t>
      </w:r>
      <w:r w:rsidR="007C53B1" w:rsidRPr="00412A0D">
        <w:rPr>
          <w:sz w:val="24"/>
        </w:rPr>
        <w:t>Cambridge University Press</w:t>
      </w:r>
      <w:r w:rsidR="00685D5E">
        <w:rPr>
          <w:sz w:val="24"/>
        </w:rPr>
        <w:t>,</w:t>
      </w:r>
      <w:r w:rsidR="007C53B1" w:rsidRPr="00412A0D">
        <w:rPr>
          <w:sz w:val="24"/>
        </w:rPr>
        <w:t xml:space="preserve"> 2016</w:t>
      </w:r>
      <w:r w:rsidRPr="00412A0D">
        <w:rPr>
          <w:sz w:val="24"/>
        </w:rPr>
        <w:t>.</w:t>
      </w:r>
    </w:p>
    <w:p w14:paraId="354DC5F4" w14:textId="2DDDCA73" w:rsidR="00E66328" w:rsidRPr="00412A0D" w:rsidRDefault="00A020AA" w:rsidP="00412A0D">
      <w:pPr>
        <w:pStyle w:val="Heading2"/>
        <w:rPr>
          <w:sz w:val="24"/>
          <w:szCs w:val="24"/>
        </w:rPr>
      </w:pPr>
      <w:r w:rsidRPr="00412A0D">
        <w:rPr>
          <w:sz w:val="24"/>
          <w:szCs w:val="24"/>
        </w:rPr>
        <w:t>Scholarly</w:t>
      </w:r>
      <w:r w:rsidR="007C53B1" w:rsidRPr="00412A0D">
        <w:rPr>
          <w:sz w:val="24"/>
          <w:szCs w:val="24"/>
        </w:rPr>
        <w:t xml:space="preserve"> </w:t>
      </w:r>
      <w:r w:rsidR="003A2BC6" w:rsidRPr="00412A0D">
        <w:rPr>
          <w:sz w:val="24"/>
          <w:szCs w:val="24"/>
        </w:rPr>
        <w:t>t</w:t>
      </w:r>
      <w:r w:rsidR="00E66328" w:rsidRPr="00412A0D">
        <w:rPr>
          <w:sz w:val="24"/>
          <w:szCs w:val="24"/>
        </w:rPr>
        <w:t>ranslation</w:t>
      </w:r>
    </w:p>
    <w:p w14:paraId="6BE3C5FD" w14:textId="779F69BC" w:rsidR="00137DE9" w:rsidRPr="007C1E77" w:rsidRDefault="00137DE9" w:rsidP="00137DE9">
      <w:pPr>
        <w:spacing w:line="360" w:lineRule="auto"/>
        <w:ind w:left="540" w:hanging="270"/>
        <w:rPr>
          <w:iCs/>
          <w:lang w:val="de-DE"/>
        </w:rPr>
      </w:pPr>
      <w:r w:rsidRPr="00137DE9">
        <w:rPr>
          <w:iCs/>
        </w:rPr>
        <w:t xml:space="preserve">Regazzoni, Lisa. </w:t>
      </w:r>
      <w:r w:rsidRPr="00137DE9">
        <w:rPr>
          <w:i/>
        </w:rPr>
        <w:t xml:space="preserve">Things of History: The Gallic Past and French Historiography in the 18th and Early 19th Centuries </w:t>
      </w:r>
      <w:r>
        <w:rPr>
          <w:iCs/>
        </w:rPr>
        <w:t>(</w:t>
      </w:r>
      <w:r w:rsidRPr="00137DE9">
        <w:rPr>
          <w:iCs/>
        </w:rPr>
        <w:t xml:space="preserve">Forthcoming </w:t>
      </w:r>
      <w:r>
        <w:rPr>
          <w:iCs/>
        </w:rPr>
        <w:t xml:space="preserve">with Routledge </w:t>
      </w:r>
      <w:r w:rsidRPr="00137DE9">
        <w:rPr>
          <w:iCs/>
        </w:rPr>
        <w:t>2024</w:t>
      </w:r>
      <w:r>
        <w:rPr>
          <w:iCs/>
        </w:rPr>
        <w:t>)</w:t>
      </w:r>
      <w:r w:rsidRPr="00137DE9">
        <w:rPr>
          <w:iCs/>
        </w:rPr>
        <w:t xml:space="preserve">. </w:t>
      </w:r>
      <w:r w:rsidRPr="00137DE9">
        <w:rPr>
          <w:iCs/>
        </w:rPr>
        <w:br/>
      </w:r>
      <w:r>
        <w:rPr>
          <w:iCs/>
          <w:lang w:val="de-DE"/>
        </w:rPr>
        <w:t xml:space="preserve">Translation of </w:t>
      </w:r>
      <w:r>
        <w:rPr>
          <w:i/>
          <w:lang w:val="de-DE"/>
        </w:rPr>
        <w:t xml:space="preserve">Geschichtsdinge: </w:t>
      </w:r>
      <w:r w:rsidRPr="007C1E77">
        <w:rPr>
          <w:i/>
          <w:lang w:val="de-DE"/>
        </w:rPr>
        <w:t>Gallische Vergangenheit und französische Geschichtsforschung im 18. und frühen 19. Jahrhundert</w:t>
      </w:r>
      <w:r>
        <w:rPr>
          <w:i/>
          <w:lang w:val="de-DE"/>
        </w:rPr>
        <w:t xml:space="preserve"> </w:t>
      </w:r>
      <w:r>
        <w:rPr>
          <w:iCs/>
          <w:lang w:val="de-DE"/>
        </w:rPr>
        <w:t>(De Gruyter-Oldenbourg, 2020).</w:t>
      </w:r>
    </w:p>
    <w:p w14:paraId="0B92588D" w14:textId="492354E1" w:rsidR="0076301D" w:rsidRDefault="00575232" w:rsidP="0076301D">
      <w:pPr>
        <w:spacing w:line="360" w:lineRule="auto"/>
        <w:ind w:left="540" w:hanging="270"/>
        <w:rPr>
          <w:iCs/>
          <w:lang w:val="de-DE"/>
        </w:rPr>
      </w:pPr>
      <w:r w:rsidRPr="00412A0D">
        <w:rPr>
          <w:iCs/>
        </w:rPr>
        <w:t xml:space="preserve">Wiemer, </w:t>
      </w:r>
      <w:r w:rsidR="0076301D" w:rsidRPr="00412A0D">
        <w:rPr>
          <w:iCs/>
        </w:rPr>
        <w:t>Hans-Ulrich</w:t>
      </w:r>
      <w:r w:rsidRPr="00412A0D">
        <w:rPr>
          <w:iCs/>
        </w:rPr>
        <w:t>.</w:t>
      </w:r>
      <w:r w:rsidR="0076301D" w:rsidRPr="00412A0D">
        <w:rPr>
          <w:iCs/>
        </w:rPr>
        <w:t xml:space="preserve"> </w:t>
      </w:r>
      <w:r w:rsidR="0076301D" w:rsidRPr="00412A0D">
        <w:rPr>
          <w:i/>
        </w:rPr>
        <w:t>Theoderic the Great</w:t>
      </w:r>
      <w:r w:rsidR="003A2BC6" w:rsidRPr="00412A0D">
        <w:rPr>
          <w:i/>
        </w:rPr>
        <w:t>: King of Goths, Ruler of Romans</w:t>
      </w:r>
      <w:r w:rsidR="003A2BC6" w:rsidRPr="00412A0D">
        <w:rPr>
          <w:iCs/>
        </w:rPr>
        <w:t xml:space="preserve">. </w:t>
      </w:r>
      <w:r w:rsidR="0076301D" w:rsidRPr="00412A0D">
        <w:rPr>
          <w:iCs/>
          <w:lang w:val="de-DE"/>
        </w:rPr>
        <w:t>Yale University Press</w:t>
      </w:r>
      <w:r w:rsidR="002663C5">
        <w:rPr>
          <w:iCs/>
          <w:lang w:val="de-DE"/>
        </w:rPr>
        <w:t xml:space="preserve">, </w:t>
      </w:r>
      <w:r w:rsidR="003C1B94" w:rsidRPr="005064DF">
        <w:rPr>
          <w:iCs/>
          <w:lang w:val="de-DE"/>
        </w:rPr>
        <w:t>2023</w:t>
      </w:r>
      <w:r w:rsidR="005064DF">
        <w:rPr>
          <w:iCs/>
          <w:lang w:val="de-DE"/>
        </w:rPr>
        <w:t>.</w:t>
      </w:r>
      <w:r w:rsidR="002663C5">
        <w:rPr>
          <w:iCs/>
          <w:lang w:val="de-DE"/>
        </w:rPr>
        <w:t xml:space="preserve"> </w:t>
      </w:r>
      <w:hyperlink r:id="rId9" w:history="1">
        <w:r w:rsidR="002663C5" w:rsidRPr="00C52B0C">
          <w:rPr>
            <w:rStyle w:val="Hyperlink"/>
            <w:iCs/>
            <w:lang w:val="de-DE"/>
          </w:rPr>
          <w:t>https://yalebooks.yale.edu/9780300254433/theoderic-the-great</w:t>
        </w:r>
      </w:hyperlink>
      <w:r w:rsidR="002663C5">
        <w:rPr>
          <w:iCs/>
          <w:lang w:val="de-DE"/>
        </w:rPr>
        <w:t xml:space="preserve"> </w:t>
      </w:r>
      <w:r w:rsidR="009F66B8" w:rsidRPr="00412A0D">
        <w:rPr>
          <w:iCs/>
          <w:lang w:val="de-DE"/>
        </w:rPr>
        <w:br/>
      </w:r>
      <w:r w:rsidR="0076301D" w:rsidRPr="00412A0D">
        <w:rPr>
          <w:iCs/>
          <w:lang w:val="de-DE"/>
        </w:rPr>
        <w:t xml:space="preserve">Translation of </w:t>
      </w:r>
      <w:r w:rsidR="0076301D" w:rsidRPr="00412A0D">
        <w:rPr>
          <w:i/>
          <w:lang w:val="de-DE"/>
        </w:rPr>
        <w:t>Theoderich der Grosse: König der Goten, Herrscher der Römer</w:t>
      </w:r>
      <w:r w:rsidR="0076301D" w:rsidRPr="00412A0D">
        <w:rPr>
          <w:iCs/>
          <w:lang w:val="de-DE"/>
        </w:rPr>
        <w:t xml:space="preserve"> </w:t>
      </w:r>
      <w:r w:rsidR="005064DF">
        <w:rPr>
          <w:iCs/>
          <w:lang w:val="de-DE"/>
        </w:rPr>
        <w:t>(Beck</w:t>
      </w:r>
      <w:r w:rsidR="00685D5E">
        <w:rPr>
          <w:iCs/>
          <w:lang w:val="de-DE"/>
        </w:rPr>
        <w:t>,</w:t>
      </w:r>
      <w:r w:rsidR="005064DF">
        <w:rPr>
          <w:iCs/>
          <w:lang w:val="de-DE"/>
        </w:rPr>
        <w:t xml:space="preserve"> </w:t>
      </w:r>
      <w:r w:rsidR="0076301D" w:rsidRPr="00412A0D">
        <w:rPr>
          <w:iCs/>
          <w:lang w:val="de-DE"/>
        </w:rPr>
        <w:t>2018</w:t>
      </w:r>
      <w:r w:rsidR="005064DF">
        <w:rPr>
          <w:iCs/>
          <w:lang w:val="de-DE"/>
        </w:rPr>
        <w:t>)</w:t>
      </w:r>
      <w:r w:rsidR="0076301D" w:rsidRPr="00412A0D">
        <w:rPr>
          <w:iCs/>
          <w:lang w:val="de-DE"/>
        </w:rPr>
        <w:t>.</w:t>
      </w:r>
    </w:p>
    <w:p w14:paraId="5BBCF216" w14:textId="4C99DC40" w:rsidR="0076301D" w:rsidRPr="00412A0D" w:rsidRDefault="00575232" w:rsidP="0076301D">
      <w:pPr>
        <w:spacing w:line="360" w:lineRule="auto"/>
        <w:ind w:left="540" w:hanging="270"/>
      </w:pPr>
      <w:r w:rsidRPr="00412A0D">
        <w:rPr>
          <w:lang w:val="de-DE"/>
        </w:rPr>
        <w:t xml:space="preserve">Friedrich, </w:t>
      </w:r>
      <w:r w:rsidR="0076301D" w:rsidRPr="00412A0D">
        <w:rPr>
          <w:lang w:val="de-DE"/>
        </w:rPr>
        <w:t>Markus</w:t>
      </w:r>
      <w:r w:rsidRPr="00412A0D">
        <w:rPr>
          <w:lang w:val="de-DE"/>
        </w:rPr>
        <w:t>.</w:t>
      </w:r>
      <w:r w:rsidR="0076301D" w:rsidRPr="00412A0D">
        <w:rPr>
          <w:lang w:val="de-DE"/>
        </w:rPr>
        <w:t xml:space="preserve"> </w:t>
      </w:r>
      <w:r w:rsidR="0076301D" w:rsidRPr="00412A0D">
        <w:rPr>
          <w:i/>
          <w:iCs/>
        </w:rPr>
        <w:t xml:space="preserve">The Jesuits: </w:t>
      </w:r>
      <w:r w:rsidR="009C674A" w:rsidRPr="00412A0D">
        <w:rPr>
          <w:i/>
          <w:iCs/>
        </w:rPr>
        <w:t>A History</w:t>
      </w:r>
      <w:r w:rsidRPr="00412A0D">
        <w:t xml:space="preserve">. Princeton </w:t>
      </w:r>
      <w:r w:rsidR="0076301D" w:rsidRPr="00412A0D">
        <w:t>University Press</w:t>
      </w:r>
      <w:r w:rsidRPr="00412A0D">
        <w:t>,</w:t>
      </w:r>
      <w:r w:rsidR="0076301D" w:rsidRPr="00412A0D">
        <w:t xml:space="preserve"> 202</w:t>
      </w:r>
      <w:r w:rsidRPr="00412A0D">
        <w:t>2</w:t>
      </w:r>
      <w:r w:rsidR="0076301D" w:rsidRPr="00412A0D">
        <w:t>.</w:t>
      </w:r>
      <w:r w:rsidRPr="00412A0D">
        <w:br/>
      </w:r>
      <w:r w:rsidR="0076301D" w:rsidRPr="00412A0D">
        <w:t xml:space="preserve">Translation of </w:t>
      </w:r>
      <w:r w:rsidR="0076301D" w:rsidRPr="00412A0D">
        <w:rPr>
          <w:i/>
          <w:iCs/>
          <w:lang w:val="de-DE"/>
        </w:rPr>
        <w:t>Die Jesuiten. Aufstieg, Niedergang, Neubeginn</w:t>
      </w:r>
      <w:r w:rsidR="0076301D" w:rsidRPr="00412A0D">
        <w:rPr>
          <w:i/>
          <w:iCs/>
        </w:rPr>
        <w:t xml:space="preserve"> </w:t>
      </w:r>
      <w:r w:rsidR="0076301D" w:rsidRPr="00412A0D">
        <w:t>(</w:t>
      </w:r>
      <w:r w:rsidR="00685D5E">
        <w:t xml:space="preserve">Piper, </w:t>
      </w:r>
      <w:r w:rsidR="0076301D" w:rsidRPr="00412A0D">
        <w:t>2016).</w:t>
      </w:r>
      <w:r w:rsidR="001270D9" w:rsidRPr="00412A0D">
        <w:br/>
      </w:r>
      <w:hyperlink r:id="rId10" w:history="1">
        <w:r w:rsidR="001270D9" w:rsidRPr="00412A0D">
          <w:rPr>
            <w:rStyle w:val="Hyperlink"/>
          </w:rPr>
          <w:t>https://press.princeton.edu/books/hardcover/9780691180120/the-jesuits</w:t>
        </w:r>
      </w:hyperlink>
      <w:r w:rsidR="001270D9" w:rsidRPr="00412A0D">
        <w:t xml:space="preserve"> </w:t>
      </w:r>
    </w:p>
    <w:p w14:paraId="0E372B18" w14:textId="5973627B" w:rsidR="00575232" w:rsidRPr="00412A0D" w:rsidRDefault="0076301D" w:rsidP="0076301D">
      <w:pPr>
        <w:spacing w:line="360" w:lineRule="auto"/>
        <w:ind w:left="540" w:hanging="270"/>
      </w:pPr>
      <w:r w:rsidRPr="00412A0D">
        <w:rPr>
          <w:i/>
        </w:rPr>
        <w:t xml:space="preserve">Brill’s </w:t>
      </w:r>
      <w:r w:rsidR="001270D9" w:rsidRPr="00412A0D">
        <w:rPr>
          <w:i/>
        </w:rPr>
        <w:t>Encyclopedia</w:t>
      </w:r>
      <w:r w:rsidRPr="00412A0D">
        <w:rPr>
          <w:i/>
        </w:rPr>
        <w:t xml:space="preserve"> of Early Modern History</w:t>
      </w:r>
      <w:r w:rsidRPr="00412A0D">
        <w:t xml:space="preserve"> (online).</w:t>
      </w:r>
      <w:r w:rsidR="009F66B8" w:rsidRPr="00412A0D">
        <w:br/>
      </w:r>
      <w:r w:rsidRPr="00412A0D">
        <w:t xml:space="preserve">Numerous articles on legal and historical entries from </w:t>
      </w:r>
      <w:r w:rsidRPr="00412A0D">
        <w:rPr>
          <w:i/>
          <w:lang w:val="de-DE"/>
        </w:rPr>
        <w:t>Enzyklopädie der frühen Neuzeit</w:t>
      </w:r>
      <w:r w:rsidRPr="00412A0D">
        <w:t xml:space="preserve"> (</w:t>
      </w:r>
      <w:r w:rsidR="003A2BC6" w:rsidRPr="00412A0D">
        <w:t>Br</w:t>
      </w:r>
      <w:r w:rsidR="009F66B8" w:rsidRPr="00412A0D">
        <w:t>i</w:t>
      </w:r>
      <w:r w:rsidR="003A2BC6" w:rsidRPr="00412A0D">
        <w:t xml:space="preserve">ll, </w:t>
      </w:r>
      <w:r w:rsidRPr="00412A0D">
        <w:t>2005</w:t>
      </w:r>
      <w:r w:rsidR="00575232" w:rsidRPr="00412A0D">
        <w:t>–20</w:t>
      </w:r>
      <w:r w:rsidRPr="00412A0D">
        <w:t>12)</w:t>
      </w:r>
      <w:r w:rsidR="00575232" w:rsidRPr="00412A0D">
        <w:t>.</w:t>
      </w:r>
      <w:r w:rsidR="001270D9" w:rsidRPr="00412A0D">
        <w:br/>
      </w:r>
      <w:hyperlink r:id="rId11" w:history="1">
        <w:r w:rsidR="001270D9" w:rsidRPr="00412A0D">
          <w:rPr>
            <w:rStyle w:val="Hyperlink"/>
          </w:rPr>
          <w:t>https://brill.com/view/serial/EEMH</w:t>
        </w:r>
      </w:hyperlink>
      <w:r w:rsidR="001270D9" w:rsidRPr="00412A0D">
        <w:t xml:space="preserve"> </w:t>
      </w:r>
    </w:p>
    <w:p w14:paraId="52B53A18" w14:textId="45A37345" w:rsidR="005D168C" w:rsidRPr="00412A0D" w:rsidRDefault="005D168C" w:rsidP="005D168C">
      <w:pPr>
        <w:spacing w:after="120" w:line="360" w:lineRule="auto"/>
        <w:ind w:left="548" w:hanging="274"/>
        <w:rPr>
          <w:lang w:val="de-DE"/>
        </w:rPr>
      </w:pPr>
      <w:r w:rsidRPr="00412A0D">
        <w:rPr>
          <w:lang w:val="de-DE"/>
        </w:rPr>
        <w:t xml:space="preserve">Friedrich, Markus. </w:t>
      </w:r>
      <w:r w:rsidRPr="00412A0D">
        <w:rPr>
          <w:i/>
        </w:rPr>
        <w:t>The Birth of the Archive: A History of Knowledge</w:t>
      </w:r>
      <w:r w:rsidR="005064DF">
        <w:rPr>
          <w:iCs/>
        </w:rPr>
        <w:t>.</w:t>
      </w:r>
      <w:r w:rsidRPr="00412A0D">
        <w:t xml:space="preserve"> University of Michigan Press, 2018.</w:t>
      </w:r>
      <w:r w:rsidR="009F66B8" w:rsidRPr="00412A0D">
        <w:br/>
      </w:r>
      <w:r w:rsidRPr="00412A0D">
        <w:rPr>
          <w:lang w:val="de-DE"/>
        </w:rPr>
        <w:t xml:space="preserve">Translation of </w:t>
      </w:r>
      <w:r w:rsidRPr="00412A0D">
        <w:rPr>
          <w:i/>
          <w:lang w:val="de-DE"/>
        </w:rPr>
        <w:t>Die Geburt des Archivs: Eine Wissensgeschichte</w:t>
      </w:r>
      <w:r w:rsidRPr="00412A0D">
        <w:rPr>
          <w:lang w:val="de-DE"/>
        </w:rPr>
        <w:t xml:space="preserve"> (</w:t>
      </w:r>
      <w:r w:rsidR="00685D5E" w:rsidRPr="00685D5E">
        <w:rPr>
          <w:lang w:val="de-DE"/>
        </w:rPr>
        <w:t>Oldenbourg</w:t>
      </w:r>
      <w:r w:rsidR="00685D5E">
        <w:rPr>
          <w:lang w:val="de-DE"/>
        </w:rPr>
        <w:t>,</w:t>
      </w:r>
      <w:r w:rsidR="00685D5E" w:rsidRPr="00685D5E">
        <w:rPr>
          <w:lang w:val="de-DE"/>
        </w:rPr>
        <w:t xml:space="preserve"> </w:t>
      </w:r>
      <w:r w:rsidRPr="00412A0D">
        <w:rPr>
          <w:lang w:val="de-DE"/>
        </w:rPr>
        <w:t>2013)</w:t>
      </w:r>
      <w:r w:rsidR="001270D9" w:rsidRPr="00412A0D">
        <w:rPr>
          <w:lang w:val="de-DE"/>
        </w:rPr>
        <w:br/>
      </w:r>
      <w:hyperlink r:id="rId12" w:history="1">
        <w:r w:rsidR="001270D9" w:rsidRPr="00412A0D">
          <w:rPr>
            <w:rStyle w:val="Hyperlink"/>
            <w:lang w:val="de-DE"/>
          </w:rPr>
          <w:t>https://www.press.umich.edu/9394529/birth_of_the_archive</w:t>
        </w:r>
      </w:hyperlink>
      <w:r w:rsidR="001270D9" w:rsidRPr="00412A0D">
        <w:rPr>
          <w:lang w:val="de-DE"/>
        </w:rPr>
        <w:t xml:space="preserve"> </w:t>
      </w:r>
    </w:p>
    <w:p w14:paraId="2FB2E5FF" w14:textId="2A89E6C0" w:rsidR="0076301D" w:rsidRPr="00412A0D" w:rsidRDefault="003A2BC6" w:rsidP="00C27A63">
      <w:pPr>
        <w:spacing w:after="120" w:line="360" w:lineRule="auto"/>
        <w:ind w:left="548" w:hanging="274"/>
        <w:rPr>
          <w:lang w:val="de-DE"/>
        </w:rPr>
      </w:pPr>
      <w:r w:rsidRPr="00412A0D">
        <w:t xml:space="preserve">Habicht, </w:t>
      </w:r>
      <w:r w:rsidR="0076301D" w:rsidRPr="00412A0D">
        <w:t>Christian</w:t>
      </w:r>
      <w:r w:rsidRPr="00412A0D">
        <w:t>.</w:t>
      </w:r>
      <w:r w:rsidR="0076301D" w:rsidRPr="00412A0D">
        <w:t xml:space="preserve"> </w:t>
      </w:r>
      <w:r w:rsidR="0076301D" w:rsidRPr="00412A0D">
        <w:rPr>
          <w:i/>
        </w:rPr>
        <w:t>Divine Honors for Mortal Men</w:t>
      </w:r>
      <w:r w:rsidR="001270D9" w:rsidRPr="00412A0D">
        <w:rPr>
          <w:i/>
        </w:rPr>
        <w:t xml:space="preserve"> in Greek Cities</w:t>
      </w:r>
      <w:r w:rsidR="0076301D" w:rsidRPr="00412A0D">
        <w:t xml:space="preserve"> (Michigan Classical Press, 2017). </w:t>
      </w:r>
      <w:r w:rsidR="009F66B8" w:rsidRPr="00412A0D">
        <w:br/>
      </w:r>
      <w:r w:rsidR="0076301D" w:rsidRPr="00412A0D">
        <w:rPr>
          <w:lang w:val="de-DE"/>
        </w:rPr>
        <w:t xml:space="preserve">Translation of </w:t>
      </w:r>
      <w:r w:rsidR="0076301D" w:rsidRPr="00412A0D">
        <w:rPr>
          <w:i/>
          <w:lang w:val="de-DE"/>
        </w:rPr>
        <w:t>Gottmenschentum und griechische Städte</w:t>
      </w:r>
      <w:r w:rsidR="0076301D" w:rsidRPr="00412A0D">
        <w:rPr>
          <w:lang w:val="de-DE"/>
        </w:rPr>
        <w:t>, 2nd ed. (</w:t>
      </w:r>
      <w:r w:rsidR="00685D5E">
        <w:rPr>
          <w:lang w:val="de-DE"/>
        </w:rPr>
        <w:t xml:space="preserve">Beck, </w:t>
      </w:r>
      <w:r w:rsidR="0076301D" w:rsidRPr="00412A0D">
        <w:rPr>
          <w:lang w:val="de-DE"/>
        </w:rPr>
        <w:t>1970)</w:t>
      </w:r>
      <w:r w:rsidRPr="00412A0D">
        <w:rPr>
          <w:lang w:val="de-DE"/>
        </w:rPr>
        <w:t>.</w:t>
      </w:r>
      <w:r w:rsidR="001270D9" w:rsidRPr="00412A0D">
        <w:rPr>
          <w:lang w:val="de-DE"/>
        </w:rPr>
        <w:br/>
      </w:r>
      <w:hyperlink r:id="rId13" w:history="1">
        <w:r w:rsidR="001270D9" w:rsidRPr="00412A0D">
          <w:rPr>
            <w:rStyle w:val="Hyperlink"/>
            <w:lang w:val="de-DE"/>
          </w:rPr>
          <w:t>http://michiganclassicalpress.com/</w:t>
        </w:r>
      </w:hyperlink>
      <w:r w:rsidR="001270D9" w:rsidRPr="00412A0D">
        <w:rPr>
          <w:lang w:val="de-DE"/>
        </w:rPr>
        <w:t xml:space="preserve"> </w:t>
      </w:r>
    </w:p>
    <w:p w14:paraId="2B1854B5" w14:textId="54B5AC10" w:rsidR="0078372F" w:rsidRPr="00412A0D" w:rsidRDefault="0076301D" w:rsidP="00412A0D">
      <w:pPr>
        <w:pStyle w:val="Heading2"/>
        <w:rPr>
          <w:sz w:val="24"/>
          <w:szCs w:val="24"/>
        </w:rPr>
      </w:pPr>
      <w:r w:rsidRPr="00412A0D">
        <w:rPr>
          <w:sz w:val="24"/>
          <w:szCs w:val="24"/>
        </w:rPr>
        <w:lastRenderedPageBreak/>
        <w:t>Edit</w:t>
      </w:r>
      <w:r w:rsidR="00412A0D">
        <w:rPr>
          <w:sz w:val="24"/>
          <w:szCs w:val="24"/>
        </w:rPr>
        <w:t>ing and proofreading</w:t>
      </w:r>
    </w:p>
    <w:p w14:paraId="26002A92" w14:textId="46C0D9F4" w:rsidR="003A2BC6" w:rsidRPr="00412A0D" w:rsidRDefault="003A2BC6" w:rsidP="003A2BC6">
      <w:pPr>
        <w:spacing w:line="360" w:lineRule="auto"/>
        <w:ind w:left="540" w:hanging="270"/>
        <w:rPr>
          <w:iCs/>
        </w:rPr>
      </w:pPr>
      <w:r w:rsidRPr="00412A0D">
        <w:rPr>
          <w:iCs/>
          <w:lang w:val="de-DE"/>
        </w:rPr>
        <w:t xml:space="preserve">Friedrich, Markus. </w:t>
      </w:r>
      <w:r w:rsidRPr="00412A0D">
        <w:rPr>
          <w:i/>
        </w:rPr>
        <w:t>The Maker of Pedigrees: Jakob Wilhelm Imhoff (1651–1728) and the Rise of Genealogy in Early Modern Europe</w:t>
      </w:r>
      <w:r w:rsidRPr="00412A0D">
        <w:rPr>
          <w:iCs/>
        </w:rPr>
        <w:t>. Johns Hopkins University Press</w:t>
      </w:r>
      <w:r w:rsidR="00F9181F">
        <w:rPr>
          <w:iCs/>
        </w:rPr>
        <w:t>,</w:t>
      </w:r>
      <w:r w:rsidRPr="00412A0D">
        <w:rPr>
          <w:iCs/>
        </w:rPr>
        <w:t xml:space="preserve"> </w:t>
      </w:r>
      <w:r w:rsidR="005064DF">
        <w:rPr>
          <w:iCs/>
        </w:rPr>
        <w:t>2023</w:t>
      </w:r>
      <w:r w:rsidRPr="00412A0D">
        <w:rPr>
          <w:iCs/>
        </w:rPr>
        <w:t>.</w:t>
      </w:r>
      <w:r w:rsidR="005064DF">
        <w:rPr>
          <w:iCs/>
        </w:rPr>
        <w:t xml:space="preserve"> </w:t>
      </w:r>
      <w:hyperlink r:id="rId14" w:history="1">
        <w:r w:rsidR="005064DF" w:rsidRPr="00D36E1F">
          <w:rPr>
            <w:rStyle w:val="Hyperlink"/>
            <w:iCs/>
          </w:rPr>
          <w:t>https://www.press.jhu.edu/books/title/12939/maker-pedigrees</w:t>
        </w:r>
      </w:hyperlink>
      <w:r w:rsidR="005064DF">
        <w:rPr>
          <w:iCs/>
        </w:rPr>
        <w:t xml:space="preserve"> </w:t>
      </w:r>
    </w:p>
    <w:p w14:paraId="5F766191" w14:textId="1F7738BD" w:rsidR="0078372F" w:rsidRPr="00412A0D" w:rsidRDefault="0078372F" w:rsidP="008723FF">
      <w:pPr>
        <w:spacing w:line="360" w:lineRule="auto"/>
        <w:ind w:left="540" w:hanging="270"/>
        <w:rPr>
          <w:iCs/>
        </w:rPr>
      </w:pPr>
      <w:r w:rsidRPr="00412A0D">
        <w:rPr>
          <w:i/>
        </w:rPr>
        <w:t>Brill’s New Pauly Supplements II, Volume 9: The Early Mediterranean World, 1200–600 BC</w:t>
      </w:r>
      <w:r w:rsidR="003A2BC6" w:rsidRPr="00412A0D">
        <w:rPr>
          <w:iCs/>
        </w:rPr>
        <w:t>.</w:t>
      </w:r>
      <w:r w:rsidRPr="00412A0D">
        <w:rPr>
          <w:iCs/>
        </w:rPr>
        <w:t xml:space="preserve"> </w:t>
      </w:r>
      <w:r w:rsidR="003A2BC6" w:rsidRPr="00412A0D">
        <w:rPr>
          <w:iCs/>
        </w:rPr>
        <w:t>T</w:t>
      </w:r>
      <w:r w:rsidRPr="00412A0D">
        <w:rPr>
          <w:iCs/>
        </w:rPr>
        <w:t>rans</w:t>
      </w:r>
      <w:r w:rsidR="00BB567C" w:rsidRPr="00412A0D">
        <w:rPr>
          <w:iCs/>
        </w:rPr>
        <w:t>.</w:t>
      </w:r>
      <w:r w:rsidRPr="00412A0D">
        <w:rPr>
          <w:iCs/>
        </w:rPr>
        <w:t xml:space="preserve"> Duncan A. Smart</w:t>
      </w:r>
      <w:r w:rsidR="003A2BC6" w:rsidRPr="00412A0D">
        <w:rPr>
          <w:iCs/>
        </w:rPr>
        <w:t xml:space="preserve">. </w:t>
      </w:r>
      <w:r w:rsidRPr="00412A0D">
        <w:rPr>
          <w:iCs/>
        </w:rPr>
        <w:t>Brill</w:t>
      </w:r>
      <w:r w:rsidR="003A2BC6" w:rsidRPr="00412A0D">
        <w:rPr>
          <w:iCs/>
        </w:rPr>
        <w:t>,</w:t>
      </w:r>
      <w:r w:rsidRPr="00412A0D">
        <w:rPr>
          <w:iCs/>
        </w:rPr>
        <w:t xml:space="preserve"> 2018</w:t>
      </w:r>
      <w:r w:rsidR="003A2BC6" w:rsidRPr="00412A0D">
        <w:rPr>
          <w:iCs/>
        </w:rPr>
        <w:t>.</w:t>
      </w:r>
      <w:r w:rsidR="00F9735B" w:rsidRPr="00412A0D">
        <w:rPr>
          <w:iCs/>
        </w:rPr>
        <w:t xml:space="preserve"> </w:t>
      </w:r>
      <w:hyperlink r:id="rId15" w:history="1">
        <w:r w:rsidR="00F9735B" w:rsidRPr="00412A0D">
          <w:rPr>
            <w:rStyle w:val="Hyperlink"/>
            <w:iCs/>
          </w:rPr>
          <w:t>https://referenceworks.brillonline.com/browse/brill-s-new-pauly-supplements-ii-9</w:t>
        </w:r>
      </w:hyperlink>
      <w:r w:rsidR="00F9735B" w:rsidRPr="00412A0D">
        <w:rPr>
          <w:iCs/>
        </w:rPr>
        <w:t xml:space="preserve"> </w:t>
      </w:r>
    </w:p>
    <w:p w14:paraId="5B89F242" w14:textId="03BE929E" w:rsidR="00BB567C" w:rsidRPr="00412A0D" w:rsidRDefault="00BB567C" w:rsidP="008723FF">
      <w:pPr>
        <w:spacing w:after="120" w:line="360" w:lineRule="auto"/>
        <w:ind w:left="548" w:hanging="274"/>
        <w:rPr>
          <w:iCs/>
        </w:rPr>
      </w:pPr>
      <w:r w:rsidRPr="00412A0D">
        <w:rPr>
          <w:i/>
        </w:rPr>
        <w:t>Brill’s New Pauly Supplements II, Volume 10: History and Culture of Byzantium</w:t>
      </w:r>
      <w:r w:rsidR="00F9735B" w:rsidRPr="00412A0D">
        <w:rPr>
          <w:iCs/>
        </w:rPr>
        <w:t>.</w:t>
      </w:r>
      <w:r w:rsidRPr="00412A0D">
        <w:rPr>
          <w:iCs/>
        </w:rPr>
        <w:t xml:space="preserve"> </w:t>
      </w:r>
      <w:r w:rsidR="00F9735B" w:rsidRPr="00412A0D">
        <w:rPr>
          <w:iCs/>
        </w:rPr>
        <w:t>T</w:t>
      </w:r>
      <w:r w:rsidRPr="00412A0D">
        <w:rPr>
          <w:iCs/>
        </w:rPr>
        <w:t>rans. Duncan A. Smart</w:t>
      </w:r>
      <w:r w:rsidR="00F9735B" w:rsidRPr="00412A0D">
        <w:rPr>
          <w:iCs/>
        </w:rPr>
        <w:t>.</w:t>
      </w:r>
      <w:r w:rsidRPr="00412A0D">
        <w:rPr>
          <w:iCs/>
        </w:rPr>
        <w:t xml:space="preserve"> Brill</w:t>
      </w:r>
      <w:r w:rsidR="00614B12" w:rsidRPr="00412A0D">
        <w:rPr>
          <w:iCs/>
        </w:rPr>
        <w:t>,</w:t>
      </w:r>
      <w:r w:rsidRPr="00412A0D">
        <w:rPr>
          <w:iCs/>
        </w:rPr>
        <w:t xml:space="preserve"> </w:t>
      </w:r>
      <w:r w:rsidR="00F9735B" w:rsidRPr="00412A0D">
        <w:rPr>
          <w:iCs/>
        </w:rPr>
        <w:t xml:space="preserve">2019. </w:t>
      </w:r>
      <w:hyperlink r:id="rId16" w:history="1">
        <w:r w:rsidR="00F9735B" w:rsidRPr="00412A0D">
          <w:rPr>
            <w:rStyle w:val="Hyperlink"/>
            <w:iCs/>
          </w:rPr>
          <w:t>https://referenceworks.brillonline.com/browse/brill-s-new-pauly-supplements-ii-10</w:t>
        </w:r>
      </w:hyperlink>
      <w:r w:rsidR="00F9735B" w:rsidRPr="00412A0D">
        <w:rPr>
          <w:iCs/>
        </w:rPr>
        <w:t xml:space="preserve"> </w:t>
      </w:r>
    </w:p>
    <w:p w14:paraId="561FAE1C" w14:textId="333406D0" w:rsidR="00981583" w:rsidRPr="00412A0D" w:rsidRDefault="00981583" w:rsidP="00412A0D">
      <w:pPr>
        <w:pStyle w:val="Heading2"/>
        <w:rPr>
          <w:sz w:val="24"/>
          <w:szCs w:val="24"/>
        </w:rPr>
      </w:pPr>
      <w:r w:rsidRPr="00412A0D">
        <w:rPr>
          <w:sz w:val="24"/>
          <w:szCs w:val="24"/>
        </w:rPr>
        <w:t xml:space="preserve">Articles and </w:t>
      </w:r>
      <w:r w:rsidR="00E462E8" w:rsidRPr="00412A0D">
        <w:rPr>
          <w:sz w:val="24"/>
          <w:szCs w:val="24"/>
        </w:rPr>
        <w:t>c</w:t>
      </w:r>
      <w:r w:rsidRPr="00412A0D">
        <w:rPr>
          <w:sz w:val="24"/>
          <w:szCs w:val="24"/>
        </w:rPr>
        <w:t>hapters</w:t>
      </w:r>
    </w:p>
    <w:p w14:paraId="186743BD" w14:textId="4F95CF2E" w:rsidR="009D5899" w:rsidRPr="00412A0D" w:rsidRDefault="00981583" w:rsidP="008723FF">
      <w:pPr>
        <w:pStyle w:val="BodyTextIndent2"/>
        <w:tabs>
          <w:tab w:val="left" w:pos="540"/>
        </w:tabs>
        <w:spacing w:after="120" w:line="360" w:lineRule="auto"/>
        <w:ind w:left="548" w:hanging="274"/>
        <w:contextualSpacing/>
        <w:rPr>
          <w:bCs/>
          <w:iCs/>
          <w:sz w:val="24"/>
        </w:rPr>
      </w:pPr>
      <w:r w:rsidRPr="00412A0D">
        <w:rPr>
          <w:bCs/>
          <w:iCs/>
          <w:sz w:val="24"/>
        </w:rPr>
        <w:t>“The Emperor’s New Prose: The Style of Diocletian’s Legislation</w:t>
      </w:r>
      <w:r w:rsidR="00E462E8" w:rsidRPr="00412A0D">
        <w:rPr>
          <w:bCs/>
          <w:iCs/>
          <w:sz w:val="24"/>
        </w:rPr>
        <w:t>.</w:t>
      </w:r>
      <w:r w:rsidRPr="00412A0D">
        <w:rPr>
          <w:bCs/>
          <w:iCs/>
          <w:sz w:val="24"/>
        </w:rPr>
        <w:t xml:space="preserve">” </w:t>
      </w:r>
      <w:r w:rsidR="00E462E8" w:rsidRPr="00412A0D">
        <w:rPr>
          <w:bCs/>
          <w:iCs/>
          <w:sz w:val="24"/>
        </w:rPr>
        <w:t>I</w:t>
      </w:r>
      <w:r w:rsidR="000D3101" w:rsidRPr="00412A0D">
        <w:rPr>
          <w:bCs/>
          <w:iCs/>
          <w:sz w:val="24"/>
        </w:rPr>
        <w:t xml:space="preserve">n </w:t>
      </w:r>
      <w:r w:rsidR="000D3101" w:rsidRPr="00412A0D">
        <w:rPr>
          <w:bCs/>
          <w:i/>
          <w:sz w:val="24"/>
        </w:rPr>
        <w:t>Diocleziano: la frontiera giuridica dell’imperio</w:t>
      </w:r>
      <w:r w:rsidR="000D3101" w:rsidRPr="00412A0D">
        <w:rPr>
          <w:bCs/>
          <w:iCs/>
          <w:sz w:val="24"/>
        </w:rPr>
        <w:t>, ed. Werner Eck and Salvatore Puliatti</w:t>
      </w:r>
      <w:r w:rsidR="00614B12" w:rsidRPr="00412A0D">
        <w:rPr>
          <w:bCs/>
          <w:iCs/>
          <w:sz w:val="24"/>
        </w:rPr>
        <w:t xml:space="preserve">, </w:t>
      </w:r>
      <w:r w:rsidR="00E462E8" w:rsidRPr="00412A0D">
        <w:rPr>
          <w:bCs/>
          <w:iCs/>
          <w:sz w:val="24"/>
        </w:rPr>
        <w:t xml:space="preserve">285–343. </w:t>
      </w:r>
      <w:r w:rsidR="00614B12" w:rsidRPr="00412A0D">
        <w:rPr>
          <w:bCs/>
          <w:iCs/>
          <w:sz w:val="24"/>
        </w:rPr>
        <w:t>Pubblicazioni del CEDANT</w:t>
      </w:r>
      <w:r w:rsidR="00E462E8" w:rsidRPr="00412A0D">
        <w:rPr>
          <w:bCs/>
          <w:iCs/>
          <w:sz w:val="24"/>
        </w:rPr>
        <w:t>,</w:t>
      </w:r>
      <w:r w:rsidR="00614B12" w:rsidRPr="00412A0D">
        <w:rPr>
          <w:bCs/>
          <w:iCs/>
          <w:sz w:val="24"/>
        </w:rPr>
        <w:t xml:space="preserve"> 16</w:t>
      </w:r>
      <w:r w:rsidR="00E462E8" w:rsidRPr="00412A0D">
        <w:rPr>
          <w:bCs/>
          <w:iCs/>
          <w:sz w:val="24"/>
        </w:rPr>
        <w:t>.</w:t>
      </w:r>
      <w:r w:rsidR="00614B12" w:rsidRPr="00412A0D">
        <w:rPr>
          <w:bCs/>
          <w:iCs/>
          <w:sz w:val="24"/>
        </w:rPr>
        <w:t xml:space="preserve"> Pavia University Press, 2018</w:t>
      </w:r>
      <w:r w:rsidR="00E462E8" w:rsidRPr="00412A0D">
        <w:rPr>
          <w:bCs/>
          <w:iCs/>
          <w:sz w:val="24"/>
        </w:rPr>
        <w:t>.</w:t>
      </w:r>
    </w:p>
    <w:p w14:paraId="4C9E5BC9" w14:textId="50A7C74E" w:rsidR="00D45569" w:rsidRPr="00412A0D" w:rsidRDefault="00D45569" w:rsidP="008723FF">
      <w:pPr>
        <w:pStyle w:val="BodyTextIndent2"/>
        <w:tabs>
          <w:tab w:val="left" w:pos="540"/>
        </w:tabs>
        <w:spacing w:after="120" w:line="360" w:lineRule="auto"/>
        <w:ind w:left="548" w:hanging="274"/>
        <w:contextualSpacing/>
        <w:rPr>
          <w:bCs/>
          <w:iCs/>
          <w:sz w:val="24"/>
        </w:rPr>
      </w:pPr>
      <w:r w:rsidRPr="00412A0D">
        <w:rPr>
          <w:sz w:val="24"/>
        </w:rPr>
        <w:t>“Roman and Non-Roman Religious Spaces in Cicero’s Second Verrine Oration</w:t>
      </w:r>
      <w:r w:rsidR="00E462E8" w:rsidRPr="00412A0D">
        <w:rPr>
          <w:sz w:val="24"/>
        </w:rPr>
        <w:t>.</w:t>
      </w:r>
      <w:r w:rsidRPr="00412A0D">
        <w:rPr>
          <w:sz w:val="24"/>
        </w:rPr>
        <w:t xml:space="preserve">” </w:t>
      </w:r>
      <w:r w:rsidR="00E462E8" w:rsidRPr="00412A0D">
        <w:rPr>
          <w:sz w:val="24"/>
          <w:lang w:val="de-DE"/>
        </w:rPr>
        <w:t>I</w:t>
      </w:r>
      <w:r w:rsidRPr="00412A0D">
        <w:rPr>
          <w:sz w:val="24"/>
          <w:lang w:val="de-DE"/>
        </w:rPr>
        <w:t xml:space="preserve">n </w:t>
      </w:r>
      <w:r w:rsidRPr="00412A0D">
        <w:rPr>
          <w:i/>
          <w:sz w:val="24"/>
          <w:lang w:val="de-DE"/>
        </w:rPr>
        <w:t>Raum-Ordnung: Raum und soziopolitische Ordnungen im Altertum</w:t>
      </w:r>
      <w:r w:rsidRPr="00412A0D">
        <w:rPr>
          <w:sz w:val="24"/>
          <w:lang w:val="de-DE"/>
        </w:rPr>
        <w:t>,</w:t>
      </w:r>
      <w:r w:rsidRPr="00412A0D">
        <w:rPr>
          <w:i/>
          <w:sz w:val="24"/>
          <w:lang w:val="de-DE"/>
        </w:rPr>
        <w:t xml:space="preserve"> </w:t>
      </w:r>
      <w:r w:rsidRPr="00412A0D">
        <w:rPr>
          <w:sz w:val="24"/>
          <w:lang w:val="de-DE"/>
        </w:rPr>
        <w:t xml:space="preserve">ed. </w:t>
      </w:r>
      <w:r w:rsidRPr="00412A0D">
        <w:rPr>
          <w:sz w:val="24"/>
        </w:rPr>
        <w:t>Sebastian Schmidt-Hofner, Claus Amb</w:t>
      </w:r>
      <w:r w:rsidR="0076301D" w:rsidRPr="00412A0D">
        <w:rPr>
          <w:sz w:val="24"/>
        </w:rPr>
        <w:t>o</w:t>
      </w:r>
      <w:r w:rsidRPr="00412A0D">
        <w:rPr>
          <w:sz w:val="24"/>
        </w:rPr>
        <w:t>s, and Peter Eich</w:t>
      </w:r>
      <w:r w:rsidR="00E462E8" w:rsidRPr="00412A0D">
        <w:rPr>
          <w:sz w:val="24"/>
        </w:rPr>
        <w:t>, 251</w:t>
      </w:r>
      <w:r w:rsidR="007A2EA8" w:rsidRPr="00412A0D">
        <w:rPr>
          <w:bCs/>
          <w:iCs/>
          <w:sz w:val="24"/>
        </w:rPr>
        <w:t>–</w:t>
      </w:r>
      <w:r w:rsidR="00E462E8" w:rsidRPr="00412A0D">
        <w:rPr>
          <w:sz w:val="24"/>
        </w:rPr>
        <w:t>270.</w:t>
      </w:r>
      <w:r w:rsidR="008007B4" w:rsidRPr="00412A0D">
        <w:rPr>
          <w:sz w:val="24"/>
        </w:rPr>
        <w:t xml:space="preserve"> (Winter, 2016)</w:t>
      </w:r>
      <w:r w:rsidR="00E462E8" w:rsidRPr="00412A0D">
        <w:rPr>
          <w:sz w:val="24"/>
        </w:rPr>
        <w:t>.</w:t>
      </w:r>
    </w:p>
    <w:p w14:paraId="72341BB6" w14:textId="737AC929" w:rsidR="00981583" w:rsidRPr="00412A0D" w:rsidRDefault="00981583" w:rsidP="008723FF">
      <w:pPr>
        <w:pStyle w:val="BodyTextIndent2"/>
        <w:tabs>
          <w:tab w:val="left" w:pos="540"/>
        </w:tabs>
        <w:spacing w:after="120" w:line="360" w:lineRule="auto"/>
        <w:ind w:left="548" w:hanging="274"/>
        <w:contextualSpacing/>
        <w:rPr>
          <w:bCs/>
          <w:iCs/>
          <w:sz w:val="24"/>
        </w:rPr>
      </w:pPr>
      <w:r w:rsidRPr="00412A0D">
        <w:rPr>
          <w:bCs/>
          <w:iCs/>
          <w:sz w:val="24"/>
        </w:rPr>
        <w:t>“Conjectures and Criticism in Book I of the Codex Justinianus</w:t>
      </w:r>
      <w:r w:rsidR="00E462E8" w:rsidRPr="00412A0D">
        <w:rPr>
          <w:bCs/>
          <w:iCs/>
          <w:sz w:val="24"/>
        </w:rPr>
        <w:t>.</w:t>
      </w:r>
      <w:r w:rsidRPr="00412A0D">
        <w:rPr>
          <w:bCs/>
          <w:iCs/>
          <w:sz w:val="24"/>
        </w:rPr>
        <w:t xml:space="preserve">” </w:t>
      </w:r>
      <w:r w:rsidRPr="00412A0D">
        <w:rPr>
          <w:bCs/>
          <w:i/>
          <w:sz w:val="24"/>
        </w:rPr>
        <w:t>Classica</w:t>
      </w:r>
      <w:r w:rsidR="00D45569" w:rsidRPr="00412A0D">
        <w:rPr>
          <w:bCs/>
          <w:i/>
          <w:sz w:val="24"/>
        </w:rPr>
        <w:t>l Quarterly</w:t>
      </w:r>
      <w:r w:rsidR="00D45569" w:rsidRPr="00412A0D">
        <w:rPr>
          <w:bCs/>
          <w:iCs/>
          <w:sz w:val="24"/>
        </w:rPr>
        <w:t xml:space="preserve"> 65.1 (2015): 321–</w:t>
      </w:r>
      <w:r w:rsidR="00E462E8" w:rsidRPr="00412A0D">
        <w:rPr>
          <w:bCs/>
          <w:iCs/>
          <w:sz w:val="24"/>
        </w:rPr>
        <w:t>3</w:t>
      </w:r>
      <w:r w:rsidR="00D45569" w:rsidRPr="00412A0D">
        <w:rPr>
          <w:bCs/>
          <w:iCs/>
          <w:sz w:val="24"/>
        </w:rPr>
        <w:t>43</w:t>
      </w:r>
      <w:r w:rsidR="00F9735B" w:rsidRPr="00412A0D">
        <w:rPr>
          <w:bCs/>
          <w:iCs/>
          <w:sz w:val="24"/>
        </w:rPr>
        <w:t>.</w:t>
      </w:r>
    </w:p>
    <w:p w14:paraId="54181252" w14:textId="6422332C" w:rsidR="00981583" w:rsidRPr="00412A0D" w:rsidRDefault="00981583" w:rsidP="008723FF">
      <w:pPr>
        <w:pStyle w:val="BodyTextIndent2"/>
        <w:tabs>
          <w:tab w:val="left" w:pos="540"/>
        </w:tabs>
        <w:spacing w:after="120" w:line="360" w:lineRule="auto"/>
        <w:ind w:left="548" w:hanging="274"/>
        <w:contextualSpacing/>
        <w:rPr>
          <w:bCs/>
          <w:iCs/>
          <w:sz w:val="24"/>
        </w:rPr>
      </w:pPr>
      <w:r w:rsidRPr="00412A0D">
        <w:rPr>
          <w:bCs/>
          <w:iCs/>
          <w:sz w:val="24"/>
        </w:rPr>
        <w:t>“Causa 3</w:t>
      </w:r>
      <w:r w:rsidR="00E462E8" w:rsidRPr="00412A0D">
        <w:rPr>
          <w:bCs/>
          <w:iCs/>
          <w:sz w:val="24"/>
        </w:rPr>
        <w:t>.</w:t>
      </w:r>
      <w:r w:rsidRPr="00412A0D">
        <w:rPr>
          <w:bCs/>
          <w:iCs/>
          <w:sz w:val="24"/>
        </w:rPr>
        <w:t xml:space="preserve">” </w:t>
      </w:r>
      <w:r w:rsidR="00E462E8" w:rsidRPr="00412A0D">
        <w:rPr>
          <w:bCs/>
          <w:iCs/>
          <w:sz w:val="24"/>
        </w:rPr>
        <w:t>E</w:t>
      </w:r>
      <w:r w:rsidRPr="00412A0D">
        <w:rPr>
          <w:bCs/>
          <w:iCs/>
          <w:sz w:val="24"/>
        </w:rPr>
        <w:t xml:space="preserve">dition incorporated in the forthcoming </w:t>
      </w:r>
      <w:r w:rsidRPr="00412A0D">
        <w:rPr>
          <w:bCs/>
          <w:i/>
          <w:sz w:val="24"/>
        </w:rPr>
        <w:t>Decretum Gratiani, First Recension</w:t>
      </w:r>
      <w:r w:rsidRPr="00412A0D">
        <w:rPr>
          <w:bCs/>
          <w:iCs/>
          <w:sz w:val="24"/>
        </w:rPr>
        <w:t>, ed. Anders Winroth</w:t>
      </w:r>
      <w:r w:rsidR="00E462E8" w:rsidRPr="00412A0D">
        <w:rPr>
          <w:bCs/>
          <w:iCs/>
          <w:sz w:val="24"/>
        </w:rPr>
        <w:t>.</w:t>
      </w:r>
      <w:r w:rsidRPr="00412A0D">
        <w:rPr>
          <w:bCs/>
          <w:iCs/>
          <w:sz w:val="24"/>
        </w:rPr>
        <w:t xml:space="preserve"> </w:t>
      </w:r>
      <w:r w:rsidR="00E462E8" w:rsidRPr="00412A0D">
        <w:rPr>
          <w:bCs/>
          <w:iCs/>
          <w:sz w:val="24"/>
        </w:rPr>
        <w:t>A</w:t>
      </w:r>
      <w:r w:rsidRPr="00412A0D">
        <w:rPr>
          <w:bCs/>
          <w:iCs/>
          <w:sz w:val="24"/>
        </w:rPr>
        <w:t xml:space="preserve">vailable online at </w:t>
      </w:r>
      <w:hyperlink r:id="rId17" w:history="1">
        <w:r w:rsidR="00D45569" w:rsidRPr="00412A0D">
          <w:rPr>
            <w:rStyle w:val="Hyperlink"/>
            <w:sz w:val="24"/>
          </w:rPr>
          <w:t>https://sites.google.com/a/yale.edu/decretumgratiani/</w:t>
        </w:r>
      </w:hyperlink>
      <w:r w:rsidRPr="00412A0D">
        <w:rPr>
          <w:bCs/>
          <w:iCs/>
          <w:sz w:val="24"/>
        </w:rPr>
        <w:t xml:space="preserve"> (</w:t>
      </w:r>
      <w:r w:rsidR="00E462E8" w:rsidRPr="00412A0D">
        <w:rPr>
          <w:bCs/>
          <w:iCs/>
          <w:sz w:val="24"/>
        </w:rPr>
        <w:t>P</w:t>
      </w:r>
      <w:r w:rsidRPr="00412A0D">
        <w:rPr>
          <w:bCs/>
          <w:iCs/>
          <w:sz w:val="24"/>
        </w:rPr>
        <w:t>. 302</w:t>
      </w:r>
      <w:r w:rsidR="00D45569" w:rsidRPr="00412A0D">
        <w:rPr>
          <w:bCs/>
          <w:iCs/>
          <w:sz w:val="24"/>
        </w:rPr>
        <w:t>-328 in the 10/17/2015 version)</w:t>
      </w:r>
      <w:r w:rsidR="00E462E8" w:rsidRPr="00412A0D">
        <w:rPr>
          <w:bCs/>
          <w:iCs/>
          <w:sz w:val="24"/>
        </w:rPr>
        <w:t>.</w:t>
      </w:r>
    </w:p>
    <w:p w14:paraId="3A83C1B6" w14:textId="01939F68" w:rsidR="00981583" w:rsidRPr="00412A0D" w:rsidRDefault="00981583" w:rsidP="008723FF">
      <w:pPr>
        <w:pStyle w:val="BodyTextIndent2"/>
        <w:tabs>
          <w:tab w:val="left" w:pos="540"/>
        </w:tabs>
        <w:spacing w:after="120" w:line="360" w:lineRule="auto"/>
        <w:ind w:left="548" w:hanging="274"/>
        <w:contextualSpacing/>
        <w:rPr>
          <w:bCs/>
          <w:iCs/>
          <w:sz w:val="24"/>
        </w:rPr>
      </w:pPr>
      <w:r w:rsidRPr="00412A0D">
        <w:rPr>
          <w:bCs/>
          <w:iCs/>
          <w:sz w:val="24"/>
        </w:rPr>
        <w:t>“Trojan Religion: Foreign Sanctuaries and the Limits of Roman Religious Exclusivity</w:t>
      </w:r>
      <w:r w:rsidR="00E462E8" w:rsidRPr="00412A0D">
        <w:rPr>
          <w:bCs/>
          <w:iCs/>
          <w:sz w:val="24"/>
        </w:rPr>
        <w:t>.</w:t>
      </w:r>
      <w:r w:rsidRPr="00412A0D">
        <w:rPr>
          <w:bCs/>
          <w:iCs/>
          <w:sz w:val="24"/>
        </w:rPr>
        <w:t xml:space="preserve">” </w:t>
      </w:r>
      <w:r w:rsidR="00E462E8" w:rsidRPr="00412A0D">
        <w:rPr>
          <w:bCs/>
          <w:iCs/>
          <w:sz w:val="24"/>
        </w:rPr>
        <w:t>I</w:t>
      </w:r>
      <w:r w:rsidRPr="00412A0D">
        <w:rPr>
          <w:bCs/>
          <w:iCs/>
          <w:sz w:val="24"/>
        </w:rPr>
        <w:t xml:space="preserve">n </w:t>
      </w:r>
      <w:r w:rsidRPr="00412A0D">
        <w:rPr>
          <w:bCs/>
          <w:i/>
          <w:sz w:val="24"/>
        </w:rPr>
        <w:t>The Impact of Rome on Cult Places and Religion in Italy: New Approaches to Change and Continuity</w:t>
      </w:r>
      <w:r w:rsidR="00E462E8" w:rsidRPr="00412A0D">
        <w:rPr>
          <w:bCs/>
          <w:i/>
          <w:sz w:val="24"/>
        </w:rPr>
        <w:t>;</w:t>
      </w:r>
      <w:r w:rsidRPr="00412A0D">
        <w:rPr>
          <w:bCs/>
          <w:i/>
          <w:sz w:val="24"/>
        </w:rPr>
        <w:t xml:space="preserve"> Proceedings of the Workshop at the Royal Netherlands Institute at Rome, Rome, May 21, 2010</w:t>
      </w:r>
      <w:r w:rsidRPr="00412A0D">
        <w:rPr>
          <w:bCs/>
          <w:iCs/>
          <w:sz w:val="24"/>
        </w:rPr>
        <w:t>, ed. Tesse Stek and Gert-Jan Burgers</w:t>
      </w:r>
      <w:r w:rsidR="00E462E8" w:rsidRPr="00412A0D">
        <w:rPr>
          <w:bCs/>
          <w:iCs/>
          <w:sz w:val="24"/>
        </w:rPr>
        <w:t>, 113–143.</w:t>
      </w:r>
      <w:r w:rsidR="008007B4" w:rsidRPr="00412A0D">
        <w:rPr>
          <w:bCs/>
          <w:iCs/>
          <w:sz w:val="24"/>
        </w:rPr>
        <w:t xml:space="preserve"> BICS Supplements</w:t>
      </w:r>
      <w:r w:rsidR="00E462E8" w:rsidRPr="00412A0D">
        <w:rPr>
          <w:bCs/>
          <w:iCs/>
          <w:sz w:val="24"/>
        </w:rPr>
        <w:t>.</w:t>
      </w:r>
      <w:r w:rsidR="008007B4" w:rsidRPr="00412A0D">
        <w:rPr>
          <w:bCs/>
          <w:iCs/>
          <w:sz w:val="24"/>
        </w:rPr>
        <w:t xml:space="preserve"> Institute of Classical Studies, 2014</w:t>
      </w:r>
      <w:r w:rsidR="00E462E8" w:rsidRPr="00412A0D">
        <w:rPr>
          <w:bCs/>
          <w:iCs/>
          <w:sz w:val="24"/>
        </w:rPr>
        <w:t>.</w:t>
      </w:r>
    </w:p>
    <w:p w14:paraId="6BAB2880" w14:textId="2CE248DE" w:rsidR="00981583" w:rsidRPr="00412A0D" w:rsidRDefault="00981583" w:rsidP="008723FF">
      <w:pPr>
        <w:pStyle w:val="BodyTextIndent2"/>
        <w:tabs>
          <w:tab w:val="left" w:pos="540"/>
        </w:tabs>
        <w:spacing w:after="120" w:line="360" w:lineRule="auto"/>
        <w:ind w:left="548" w:hanging="274"/>
        <w:contextualSpacing/>
        <w:rPr>
          <w:bCs/>
          <w:iCs/>
          <w:sz w:val="24"/>
        </w:rPr>
      </w:pPr>
      <w:r w:rsidRPr="00412A0D">
        <w:rPr>
          <w:bCs/>
          <w:iCs/>
          <w:sz w:val="24"/>
        </w:rPr>
        <w:t>“The Inflation of Rank and Privilege in the Later Roman Empire: Regulating Precedence in the Fourth Century A.D</w:t>
      </w:r>
      <w:r w:rsidR="008007B4" w:rsidRPr="00412A0D">
        <w:rPr>
          <w:bCs/>
          <w:iCs/>
          <w:sz w:val="24"/>
        </w:rPr>
        <w:t>.</w:t>
      </w:r>
      <w:r w:rsidRPr="00412A0D">
        <w:rPr>
          <w:bCs/>
          <w:iCs/>
          <w:sz w:val="24"/>
        </w:rPr>
        <w:t xml:space="preserve">” </w:t>
      </w:r>
      <w:r w:rsidR="00E462E8" w:rsidRPr="00412A0D">
        <w:rPr>
          <w:bCs/>
          <w:iCs/>
          <w:sz w:val="24"/>
        </w:rPr>
        <w:t>I</w:t>
      </w:r>
      <w:r w:rsidRPr="00412A0D">
        <w:rPr>
          <w:bCs/>
          <w:iCs/>
          <w:sz w:val="24"/>
        </w:rPr>
        <w:t xml:space="preserve">n </w:t>
      </w:r>
      <w:r w:rsidRPr="00412A0D">
        <w:rPr>
          <w:bCs/>
          <w:i/>
          <w:sz w:val="24"/>
        </w:rPr>
        <w:t>Contested Monarchy: Integrating the Roman Empire in the 4th Century AD</w:t>
      </w:r>
      <w:r w:rsidRPr="00412A0D">
        <w:rPr>
          <w:bCs/>
          <w:iCs/>
          <w:sz w:val="24"/>
        </w:rPr>
        <w:t>, ed. Johannes Wienand</w:t>
      </w:r>
      <w:r w:rsidR="00E462E8" w:rsidRPr="00412A0D">
        <w:rPr>
          <w:bCs/>
          <w:iCs/>
          <w:sz w:val="24"/>
        </w:rPr>
        <w:t>, 42–66.</w:t>
      </w:r>
      <w:r w:rsidR="008007B4" w:rsidRPr="00412A0D">
        <w:rPr>
          <w:bCs/>
          <w:iCs/>
          <w:sz w:val="24"/>
        </w:rPr>
        <w:t xml:space="preserve"> Oxford University Press, 2014</w:t>
      </w:r>
      <w:r w:rsidR="00E462E8" w:rsidRPr="00412A0D">
        <w:rPr>
          <w:bCs/>
          <w:iCs/>
          <w:sz w:val="24"/>
        </w:rPr>
        <w:t>.</w:t>
      </w:r>
    </w:p>
    <w:p w14:paraId="203D97FC" w14:textId="37D0E14A" w:rsidR="00981583" w:rsidRPr="00412A0D" w:rsidRDefault="00981583" w:rsidP="008723FF">
      <w:pPr>
        <w:pStyle w:val="BodyTextIndent2"/>
        <w:tabs>
          <w:tab w:val="left" w:pos="540"/>
        </w:tabs>
        <w:spacing w:after="120" w:line="360" w:lineRule="auto"/>
        <w:ind w:left="548" w:hanging="274"/>
        <w:contextualSpacing/>
        <w:rPr>
          <w:bCs/>
          <w:iCs/>
          <w:sz w:val="24"/>
        </w:rPr>
      </w:pPr>
      <w:r w:rsidRPr="00412A0D">
        <w:rPr>
          <w:bCs/>
          <w:iCs/>
          <w:sz w:val="24"/>
        </w:rPr>
        <w:t>“The Delegation of the Xviri to Enna ca. 133 B.C. and the Death of Tiberius Gr</w:t>
      </w:r>
      <w:r w:rsidR="00D45569" w:rsidRPr="00412A0D">
        <w:rPr>
          <w:bCs/>
          <w:iCs/>
          <w:sz w:val="24"/>
        </w:rPr>
        <w:t>acchus</w:t>
      </w:r>
      <w:r w:rsidR="00E462E8" w:rsidRPr="00412A0D">
        <w:rPr>
          <w:bCs/>
          <w:iCs/>
          <w:sz w:val="24"/>
        </w:rPr>
        <w:t>.</w:t>
      </w:r>
      <w:r w:rsidR="00D45569" w:rsidRPr="00412A0D">
        <w:rPr>
          <w:bCs/>
          <w:iCs/>
          <w:sz w:val="24"/>
        </w:rPr>
        <w:t xml:space="preserve">” </w:t>
      </w:r>
      <w:r w:rsidR="00D45569" w:rsidRPr="00412A0D">
        <w:rPr>
          <w:bCs/>
          <w:i/>
          <w:sz w:val="24"/>
        </w:rPr>
        <w:t>BICS</w:t>
      </w:r>
      <w:r w:rsidR="00D45569" w:rsidRPr="00412A0D">
        <w:rPr>
          <w:bCs/>
          <w:iCs/>
          <w:sz w:val="24"/>
        </w:rPr>
        <w:t xml:space="preserve"> 56 (2013): 89–103</w:t>
      </w:r>
      <w:r w:rsidR="00E462E8" w:rsidRPr="00412A0D">
        <w:rPr>
          <w:bCs/>
          <w:iCs/>
          <w:sz w:val="24"/>
        </w:rPr>
        <w:t>.</w:t>
      </w:r>
    </w:p>
    <w:p w14:paraId="75FC5E28" w14:textId="10DD53DB" w:rsidR="00981583" w:rsidRPr="00412A0D" w:rsidRDefault="00981583" w:rsidP="008723FF">
      <w:pPr>
        <w:pStyle w:val="BodyTextIndent2"/>
        <w:tabs>
          <w:tab w:val="left" w:pos="540"/>
        </w:tabs>
        <w:spacing w:after="120" w:line="360" w:lineRule="auto"/>
        <w:ind w:left="548" w:hanging="274"/>
        <w:contextualSpacing/>
        <w:rPr>
          <w:bCs/>
          <w:iCs/>
          <w:sz w:val="24"/>
        </w:rPr>
      </w:pPr>
      <w:r w:rsidRPr="00412A0D">
        <w:rPr>
          <w:bCs/>
          <w:iCs/>
          <w:sz w:val="24"/>
        </w:rPr>
        <w:lastRenderedPageBreak/>
        <w:t>“New and Old-School Poets at the End of the Repub</w:t>
      </w:r>
      <w:r w:rsidR="00D45569" w:rsidRPr="00412A0D">
        <w:rPr>
          <w:bCs/>
          <w:iCs/>
          <w:sz w:val="24"/>
        </w:rPr>
        <w:t>lic</w:t>
      </w:r>
      <w:r w:rsidR="00E462E8" w:rsidRPr="00412A0D">
        <w:rPr>
          <w:bCs/>
          <w:iCs/>
          <w:sz w:val="24"/>
        </w:rPr>
        <w:t>.</w:t>
      </w:r>
      <w:r w:rsidR="00D45569" w:rsidRPr="00412A0D">
        <w:rPr>
          <w:bCs/>
          <w:iCs/>
          <w:sz w:val="24"/>
        </w:rPr>
        <w:t xml:space="preserve">” </w:t>
      </w:r>
      <w:r w:rsidR="00D45569" w:rsidRPr="00412A0D">
        <w:rPr>
          <w:bCs/>
          <w:i/>
          <w:sz w:val="24"/>
        </w:rPr>
        <w:t>Iris</w:t>
      </w:r>
      <w:r w:rsidR="00D45569" w:rsidRPr="00412A0D">
        <w:rPr>
          <w:bCs/>
          <w:iCs/>
          <w:sz w:val="24"/>
        </w:rPr>
        <w:t xml:space="preserve"> (Summer 2011): 24–27</w:t>
      </w:r>
      <w:r w:rsidR="00E462E8" w:rsidRPr="00412A0D">
        <w:rPr>
          <w:bCs/>
          <w:iCs/>
          <w:sz w:val="24"/>
        </w:rPr>
        <w:t xml:space="preserve">. </w:t>
      </w:r>
      <w:r w:rsidR="00E462E8" w:rsidRPr="00412A0D">
        <w:rPr>
          <w:bCs/>
          <w:iCs/>
          <w:sz w:val="24"/>
        </w:rPr>
        <w:br/>
        <w:t>[A light article for young people.]</w:t>
      </w:r>
    </w:p>
    <w:p w14:paraId="6DB52CE6" w14:textId="7DF7EFD9" w:rsidR="00981583" w:rsidRPr="00412A0D" w:rsidRDefault="00981583" w:rsidP="008723FF">
      <w:pPr>
        <w:pStyle w:val="BodyTextIndent2"/>
        <w:tabs>
          <w:tab w:val="left" w:pos="540"/>
        </w:tabs>
        <w:spacing w:after="120" w:line="360" w:lineRule="auto"/>
        <w:ind w:left="548" w:hanging="274"/>
        <w:contextualSpacing/>
        <w:rPr>
          <w:bCs/>
          <w:iCs/>
          <w:sz w:val="24"/>
        </w:rPr>
      </w:pPr>
      <w:r w:rsidRPr="00412A0D">
        <w:rPr>
          <w:bCs/>
          <w:iCs/>
          <w:sz w:val="24"/>
        </w:rPr>
        <w:t>“A Note on the Text and Interpretation of Cornelius Nepos, Alcibiades 10.2</w:t>
      </w:r>
      <w:r w:rsidR="00E462E8" w:rsidRPr="00412A0D">
        <w:rPr>
          <w:bCs/>
          <w:iCs/>
          <w:sz w:val="24"/>
        </w:rPr>
        <w:t>.</w:t>
      </w:r>
      <w:r w:rsidRPr="00412A0D">
        <w:rPr>
          <w:bCs/>
          <w:iCs/>
          <w:sz w:val="24"/>
        </w:rPr>
        <w:t xml:space="preserve">” </w:t>
      </w:r>
      <w:r w:rsidRPr="00412A0D">
        <w:rPr>
          <w:bCs/>
          <w:i/>
          <w:sz w:val="24"/>
        </w:rPr>
        <w:t>Classic</w:t>
      </w:r>
      <w:r w:rsidR="00D45569" w:rsidRPr="00412A0D">
        <w:rPr>
          <w:bCs/>
          <w:i/>
          <w:sz w:val="24"/>
        </w:rPr>
        <w:t>al Philology</w:t>
      </w:r>
      <w:r w:rsidR="00D45569" w:rsidRPr="00412A0D">
        <w:rPr>
          <w:bCs/>
          <w:iCs/>
          <w:sz w:val="24"/>
        </w:rPr>
        <w:t xml:space="preserve"> 104 (2009): 511–</w:t>
      </w:r>
      <w:r w:rsidR="00E462E8" w:rsidRPr="00412A0D">
        <w:rPr>
          <w:bCs/>
          <w:iCs/>
          <w:sz w:val="24"/>
        </w:rPr>
        <w:t>5</w:t>
      </w:r>
      <w:r w:rsidR="00D45569" w:rsidRPr="00412A0D">
        <w:rPr>
          <w:bCs/>
          <w:iCs/>
          <w:sz w:val="24"/>
        </w:rPr>
        <w:t>15</w:t>
      </w:r>
      <w:r w:rsidR="00E462E8" w:rsidRPr="00412A0D">
        <w:rPr>
          <w:bCs/>
          <w:iCs/>
          <w:sz w:val="24"/>
        </w:rPr>
        <w:t>.</w:t>
      </w:r>
    </w:p>
    <w:p w14:paraId="5A8863DF" w14:textId="65D3DF58" w:rsidR="00981583" w:rsidRPr="00412A0D" w:rsidRDefault="00981583" w:rsidP="008723FF">
      <w:pPr>
        <w:pStyle w:val="BodyTextIndent2"/>
        <w:tabs>
          <w:tab w:val="left" w:pos="540"/>
        </w:tabs>
        <w:spacing w:after="120" w:line="360" w:lineRule="auto"/>
        <w:ind w:left="548" w:hanging="274"/>
        <w:contextualSpacing/>
        <w:rPr>
          <w:bCs/>
          <w:iCs/>
          <w:sz w:val="24"/>
        </w:rPr>
      </w:pPr>
      <w:r w:rsidRPr="00412A0D">
        <w:rPr>
          <w:bCs/>
          <w:iCs/>
          <w:sz w:val="24"/>
        </w:rPr>
        <w:t xml:space="preserve">“Octavian’s Finances after Actium, before Egypt: The CAESAR DIVI F/IMP CAESAR Coinage and Antony’s Legionary </w:t>
      </w:r>
      <w:r w:rsidR="00D45569" w:rsidRPr="00412A0D">
        <w:rPr>
          <w:bCs/>
          <w:iCs/>
          <w:sz w:val="24"/>
        </w:rPr>
        <w:t>Issue</w:t>
      </w:r>
      <w:r w:rsidR="00E462E8" w:rsidRPr="00412A0D">
        <w:rPr>
          <w:bCs/>
          <w:iCs/>
          <w:sz w:val="24"/>
        </w:rPr>
        <w:t>.</w:t>
      </w:r>
      <w:r w:rsidR="00D45569" w:rsidRPr="00412A0D">
        <w:rPr>
          <w:bCs/>
          <w:iCs/>
          <w:sz w:val="24"/>
        </w:rPr>
        <w:t xml:space="preserve">” </w:t>
      </w:r>
      <w:r w:rsidR="00D45569" w:rsidRPr="00412A0D">
        <w:rPr>
          <w:bCs/>
          <w:i/>
          <w:sz w:val="24"/>
        </w:rPr>
        <w:t>Chiron</w:t>
      </w:r>
      <w:r w:rsidR="00D45569" w:rsidRPr="00412A0D">
        <w:rPr>
          <w:bCs/>
          <w:iCs/>
          <w:sz w:val="24"/>
        </w:rPr>
        <w:t xml:space="preserve"> 37 (2007): 35–48</w:t>
      </w:r>
      <w:r w:rsidR="00E462E8" w:rsidRPr="00412A0D">
        <w:rPr>
          <w:bCs/>
          <w:iCs/>
          <w:sz w:val="24"/>
        </w:rPr>
        <w:t>.</w:t>
      </w:r>
    </w:p>
    <w:p w14:paraId="588CEE3B" w14:textId="5896D4C0" w:rsidR="00850A55" w:rsidRPr="00412A0D" w:rsidRDefault="00981583" w:rsidP="008723FF">
      <w:pPr>
        <w:pStyle w:val="BodyTextIndent2"/>
        <w:tabs>
          <w:tab w:val="left" w:pos="540"/>
        </w:tabs>
        <w:spacing w:after="120" w:line="360" w:lineRule="auto"/>
        <w:ind w:left="548" w:hanging="274"/>
        <w:rPr>
          <w:bCs/>
          <w:iCs/>
          <w:sz w:val="24"/>
        </w:rPr>
      </w:pPr>
      <w:r w:rsidRPr="00412A0D">
        <w:rPr>
          <w:bCs/>
          <w:iCs/>
          <w:sz w:val="24"/>
        </w:rPr>
        <w:t>“Case Statements (</w:t>
      </w:r>
      <w:r w:rsidRPr="00412A0D">
        <w:rPr>
          <w:bCs/>
          <w:i/>
          <w:sz w:val="24"/>
        </w:rPr>
        <w:t>themata</w:t>
      </w:r>
      <w:r w:rsidRPr="00412A0D">
        <w:rPr>
          <w:bCs/>
          <w:iCs/>
          <w:sz w:val="24"/>
        </w:rPr>
        <w:t>) and the Composition of Gratian’s Cases</w:t>
      </w:r>
      <w:r w:rsidR="00E462E8" w:rsidRPr="00412A0D">
        <w:rPr>
          <w:bCs/>
          <w:iCs/>
          <w:sz w:val="24"/>
        </w:rPr>
        <w:t>.</w:t>
      </w:r>
      <w:r w:rsidRPr="00412A0D">
        <w:rPr>
          <w:bCs/>
          <w:iCs/>
          <w:sz w:val="24"/>
        </w:rPr>
        <w:t>”</w:t>
      </w:r>
      <w:r w:rsidRPr="00412A0D">
        <w:rPr>
          <w:bCs/>
          <w:i/>
          <w:sz w:val="24"/>
        </w:rPr>
        <w:t xml:space="preserve"> Zeitschrift der Savigny-Stiftung für Rechtsgeschichte, Kanonistis</w:t>
      </w:r>
      <w:r w:rsidR="00D45569" w:rsidRPr="00412A0D">
        <w:rPr>
          <w:bCs/>
          <w:i/>
          <w:sz w:val="24"/>
        </w:rPr>
        <w:t>che Abteilung</w:t>
      </w:r>
      <w:r w:rsidR="00D45569" w:rsidRPr="00412A0D">
        <w:rPr>
          <w:bCs/>
          <w:iCs/>
          <w:sz w:val="24"/>
        </w:rPr>
        <w:t xml:space="preserve"> 92 (2006): 306–</w:t>
      </w:r>
      <w:r w:rsidR="00E462E8" w:rsidRPr="00412A0D">
        <w:rPr>
          <w:bCs/>
          <w:iCs/>
          <w:sz w:val="24"/>
        </w:rPr>
        <w:t>3</w:t>
      </w:r>
      <w:r w:rsidR="00D45569" w:rsidRPr="00412A0D">
        <w:rPr>
          <w:bCs/>
          <w:iCs/>
          <w:sz w:val="24"/>
        </w:rPr>
        <w:t>39</w:t>
      </w:r>
      <w:r w:rsidR="00E462E8" w:rsidRPr="00412A0D">
        <w:rPr>
          <w:bCs/>
          <w:iCs/>
          <w:sz w:val="24"/>
        </w:rPr>
        <w:t>.</w:t>
      </w:r>
    </w:p>
    <w:p w14:paraId="55936361" w14:textId="77777777" w:rsidR="005973A1" w:rsidRPr="00412A0D" w:rsidRDefault="005973A1" w:rsidP="00412A0D">
      <w:pPr>
        <w:pStyle w:val="Heading2"/>
        <w:rPr>
          <w:sz w:val="24"/>
          <w:szCs w:val="24"/>
        </w:rPr>
      </w:pPr>
      <w:r w:rsidRPr="00412A0D">
        <w:rPr>
          <w:sz w:val="24"/>
          <w:szCs w:val="24"/>
        </w:rPr>
        <w:t>Lexicon articles</w:t>
      </w:r>
    </w:p>
    <w:p w14:paraId="01F0C520" w14:textId="2D6CBC04" w:rsidR="00D95002" w:rsidRPr="00412A0D" w:rsidRDefault="005973A1" w:rsidP="00C27A63">
      <w:pPr>
        <w:pStyle w:val="BodyTextIndent2"/>
        <w:spacing w:after="120" w:line="360" w:lineRule="auto"/>
        <w:ind w:left="548" w:hanging="274"/>
        <w:rPr>
          <w:bCs/>
          <w:iCs/>
          <w:sz w:val="24"/>
        </w:rPr>
      </w:pPr>
      <w:r w:rsidRPr="00412A0D">
        <w:rPr>
          <w:bCs/>
          <w:iCs/>
          <w:sz w:val="24"/>
        </w:rPr>
        <w:t xml:space="preserve">Twenty-nine articles on Roman law, government, and Late Antiquity for the </w:t>
      </w:r>
      <w:r w:rsidRPr="00412A0D">
        <w:rPr>
          <w:bCs/>
          <w:i/>
          <w:sz w:val="24"/>
        </w:rPr>
        <w:t>Oxford Dictionary of Late Antiquity</w:t>
      </w:r>
      <w:r w:rsidRPr="00412A0D">
        <w:rPr>
          <w:bCs/>
          <w:iCs/>
          <w:sz w:val="24"/>
        </w:rPr>
        <w:t>, ed. Oliver Nicholson (Oxford, 2018)</w:t>
      </w:r>
    </w:p>
    <w:p w14:paraId="7DDED93E" w14:textId="24CA763D" w:rsidR="00981583" w:rsidRPr="00412A0D" w:rsidRDefault="00F9181F" w:rsidP="00412A0D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R</w:t>
      </w:r>
      <w:r w:rsidR="00981583" w:rsidRPr="00412A0D">
        <w:rPr>
          <w:sz w:val="24"/>
          <w:szCs w:val="24"/>
        </w:rPr>
        <w:t>eviews</w:t>
      </w:r>
    </w:p>
    <w:p w14:paraId="2F0012DD" w14:textId="5EF931F9" w:rsidR="00897794" w:rsidRPr="00897794" w:rsidRDefault="00897794" w:rsidP="008723FF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>
        <w:rPr>
          <w:bCs/>
          <w:iCs/>
          <w:sz w:val="24"/>
        </w:rPr>
        <w:t xml:space="preserve">Andrew J. Pottenger, </w:t>
      </w:r>
      <w:r>
        <w:rPr>
          <w:bCs/>
          <w:i/>
          <w:sz w:val="24"/>
        </w:rPr>
        <w:t xml:space="preserve">Power and Rhetoric in the Ecclesiastical Correspondence of Constantine the Great </w:t>
      </w:r>
      <w:r>
        <w:rPr>
          <w:bCs/>
          <w:iCs/>
          <w:sz w:val="24"/>
        </w:rPr>
        <w:t xml:space="preserve">(Routledge 2023). </w:t>
      </w:r>
      <w:r>
        <w:rPr>
          <w:bCs/>
          <w:i/>
          <w:sz w:val="24"/>
        </w:rPr>
        <w:t>Bryn Mawr Classical Review</w:t>
      </w:r>
      <w:r w:rsidR="00C460A0">
        <w:rPr>
          <w:bCs/>
          <w:iCs/>
          <w:sz w:val="24"/>
        </w:rPr>
        <w:t xml:space="preserve">, November 2, 2024. </w:t>
      </w:r>
      <w:hyperlink r:id="rId18" w:history="1">
        <w:r w:rsidR="00C460A0" w:rsidRPr="002A1681">
          <w:rPr>
            <w:rStyle w:val="Hyperlink"/>
            <w:bCs/>
            <w:iCs/>
            <w:sz w:val="24"/>
          </w:rPr>
          <w:t>https://bmcr.brynmawr.edu/2024/2024.11.02/</w:t>
        </w:r>
      </w:hyperlink>
    </w:p>
    <w:p w14:paraId="69410D4B" w14:textId="4073A14E" w:rsidR="00981583" w:rsidRPr="00412A0D" w:rsidRDefault="008007B4" w:rsidP="008723FF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 w:rsidRPr="00412A0D">
        <w:rPr>
          <w:bCs/>
          <w:iCs/>
          <w:sz w:val="24"/>
        </w:rPr>
        <w:t xml:space="preserve">Silvie </w:t>
      </w:r>
      <w:r w:rsidR="00981583" w:rsidRPr="00412A0D">
        <w:rPr>
          <w:bCs/>
          <w:iCs/>
          <w:sz w:val="24"/>
        </w:rPr>
        <w:t>Crogiez-Pétrequin and Pierre Jaillette</w:t>
      </w:r>
      <w:r w:rsidRPr="00412A0D">
        <w:rPr>
          <w:bCs/>
          <w:iCs/>
          <w:sz w:val="24"/>
        </w:rPr>
        <w:t xml:space="preserve"> (eds</w:t>
      </w:r>
      <w:r w:rsidR="00981583" w:rsidRPr="00412A0D">
        <w:rPr>
          <w:bCs/>
          <w:iCs/>
          <w:sz w:val="24"/>
        </w:rPr>
        <w:t>.</w:t>
      </w:r>
      <w:r w:rsidRPr="00412A0D">
        <w:rPr>
          <w:bCs/>
          <w:iCs/>
          <w:sz w:val="24"/>
        </w:rPr>
        <w:t>)</w:t>
      </w:r>
      <w:r w:rsidR="007A2EA8" w:rsidRPr="00412A0D">
        <w:rPr>
          <w:bCs/>
          <w:iCs/>
          <w:sz w:val="24"/>
        </w:rPr>
        <w:t>.</w:t>
      </w:r>
      <w:r w:rsidRPr="00412A0D">
        <w:rPr>
          <w:bCs/>
          <w:iCs/>
          <w:sz w:val="24"/>
        </w:rPr>
        <w:t>,</w:t>
      </w:r>
      <w:r w:rsidR="00981583" w:rsidRPr="00412A0D">
        <w:rPr>
          <w:bCs/>
          <w:iCs/>
          <w:sz w:val="24"/>
        </w:rPr>
        <w:t xml:space="preserve"> </w:t>
      </w:r>
      <w:r w:rsidR="00981583" w:rsidRPr="00412A0D">
        <w:rPr>
          <w:bCs/>
          <w:i/>
          <w:sz w:val="24"/>
        </w:rPr>
        <w:t>Société, économie, administration dans le Code Théodosien</w:t>
      </w:r>
      <w:r w:rsidR="00981583" w:rsidRPr="00412A0D">
        <w:rPr>
          <w:bCs/>
          <w:iCs/>
          <w:sz w:val="24"/>
        </w:rPr>
        <w:t xml:space="preserve"> (Lille 2012)</w:t>
      </w:r>
      <w:r w:rsidR="007A2EA8" w:rsidRPr="00412A0D">
        <w:rPr>
          <w:bCs/>
          <w:iCs/>
          <w:sz w:val="24"/>
        </w:rPr>
        <w:t>.</w:t>
      </w:r>
      <w:r w:rsidR="00981583" w:rsidRPr="00412A0D">
        <w:rPr>
          <w:bCs/>
          <w:iCs/>
          <w:sz w:val="24"/>
        </w:rPr>
        <w:t xml:space="preserve"> </w:t>
      </w:r>
      <w:r w:rsidR="00981583" w:rsidRPr="00412A0D">
        <w:rPr>
          <w:bCs/>
          <w:i/>
          <w:sz w:val="24"/>
        </w:rPr>
        <w:t>Klio</w:t>
      </w:r>
      <w:r w:rsidR="00D45569" w:rsidRPr="00412A0D">
        <w:rPr>
          <w:bCs/>
          <w:iCs/>
          <w:sz w:val="24"/>
        </w:rPr>
        <w:t xml:space="preserve"> 9</w:t>
      </w:r>
      <w:r w:rsidR="00251245" w:rsidRPr="00412A0D">
        <w:rPr>
          <w:bCs/>
          <w:iCs/>
          <w:sz w:val="24"/>
        </w:rPr>
        <w:t>8</w:t>
      </w:r>
      <w:r w:rsidR="00D45569" w:rsidRPr="00412A0D">
        <w:rPr>
          <w:bCs/>
          <w:iCs/>
          <w:sz w:val="24"/>
        </w:rPr>
        <w:t xml:space="preserve"> (2016)</w:t>
      </w:r>
      <w:r w:rsidR="00251245" w:rsidRPr="00412A0D">
        <w:rPr>
          <w:bCs/>
          <w:iCs/>
          <w:sz w:val="24"/>
        </w:rPr>
        <w:t>:</w:t>
      </w:r>
      <w:r w:rsidR="00D45569" w:rsidRPr="00412A0D">
        <w:rPr>
          <w:bCs/>
          <w:iCs/>
          <w:sz w:val="24"/>
        </w:rPr>
        <w:t xml:space="preserve"> </w:t>
      </w:r>
      <w:r w:rsidR="00251245" w:rsidRPr="00412A0D">
        <w:rPr>
          <w:bCs/>
          <w:iCs/>
          <w:sz w:val="24"/>
        </w:rPr>
        <w:t>400</w:t>
      </w:r>
      <w:r w:rsidR="007A2EA8" w:rsidRPr="00412A0D">
        <w:rPr>
          <w:bCs/>
          <w:iCs/>
          <w:sz w:val="24"/>
        </w:rPr>
        <w:t>–40</w:t>
      </w:r>
      <w:r w:rsidR="00251245" w:rsidRPr="00412A0D">
        <w:rPr>
          <w:bCs/>
          <w:iCs/>
          <w:sz w:val="24"/>
        </w:rPr>
        <w:t>5</w:t>
      </w:r>
    </w:p>
    <w:p w14:paraId="7FA7D421" w14:textId="13C93FDD" w:rsidR="00981583" w:rsidRPr="00412A0D" w:rsidRDefault="008007B4" w:rsidP="008723FF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 w:rsidRPr="00412A0D">
        <w:rPr>
          <w:bCs/>
          <w:iCs/>
          <w:sz w:val="24"/>
        </w:rPr>
        <w:t xml:space="preserve">Lorenzo </w:t>
      </w:r>
      <w:r w:rsidR="00981583" w:rsidRPr="00412A0D">
        <w:rPr>
          <w:bCs/>
          <w:iCs/>
          <w:sz w:val="24"/>
        </w:rPr>
        <w:t xml:space="preserve">Sguaitamatti, </w:t>
      </w:r>
      <w:r w:rsidR="00981583" w:rsidRPr="00412A0D">
        <w:rPr>
          <w:bCs/>
          <w:i/>
          <w:sz w:val="24"/>
        </w:rPr>
        <w:t>Der spätantike Konsulat</w:t>
      </w:r>
      <w:r w:rsidR="00981583" w:rsidRPr="00412A0D">
        <w:rPr>
          <w:bCs/>
          <w:iCs/>
          <w:sz w:val="24"/>
        </w:rPr>
        <w:t xml:space="preserve"> (Fribourg</w:t>
      </w:r>
      <w:r w:rsidR="00D45569" w:rsidRPr="00412A0D">
        <w:rPr>
          <w:bCs/>
          <w:iCs/>
          <w:sz w:val="24"/>
        </w:rPr>
        <w:t xml:space="preserve"> 2012)</w:t>
      </w:r>
      <w:r w:rsidR="007A2EA8" w:rsidRPr="00412A0D">
        <w:rPr>
          <w:bCs/>
          <w:iCs/>
          <w:sz w:val="24"/>
        </w:rPr>
        <w:t>.</w:t>
      </w:r>
      <w:r w:rsidR="00D45569" w:rsidRPr="00412A0D">
        <w:rPr>
          <w:bCs/>
          <w:iCs/>
          <w:sz w:val="24"/>
        </w:rPr>
        <w:t xml:space="preserve"> </w:t>
      </w:r>
      <w:r w:rsidR="00D45569" w:rsidRPr="00412A0D">
        <w:rPr>
          <w:bCs/>
          <w:i/>
          <w:sz w:val="24"/>
        </w:rPr>
        <w:t>Klio</w:t>
      </w:r>
      <w:r w:rsidR="00D45569" w:rsidRPr="00412A0D">
        <w:rPr>
          <w:bCs/>
          <w:iCs/>
          <w:sz w:val="24"/>
        </w:rPr>
        <w:t xml:space="preserve"> 95 (2013): 560</w:t>
      </w:r>
      <w:r w:rsidR="007A2EA8" w:rsidRPr="00412A0D">
        <w:rPr>
          <w:bCs/>
          <w:iCs/>
          <w:sz w:val="24"/>
        </w:rPr>
        <w:t>–5</w:t>
      </w:r>
      <w:r w:rsidR="00D45569" w:rsidRPr="00412A0D">
        <w:rPr>
          <w:bCs/>
          <w:iCs/>
          <w:sz w:val="24"/>
        </w:rPr>
        <w:t>64</w:t>
      </w:r>
      <w:r w:rsidR="007A2EA8" w:rsidRPr="00412A0D">
        <w:rPr>
          <w:bCs/>
          <w:iCs/>
          <w:sz w:val="24"/>
        </w:rPr>
        <w:t>.</w:t>
      </w:r>
    </w:p>
    <w:p w14:paraId="6481E6AE" w14:textId="25CA5881" w:rsidR="00981583" w:rsidRPr="00412A0D" w:rsidRDefault="008007B4" w:rsidP="008723FF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 w:rsidRPr="00412A0D">
        <w:rPr>
          <w:bCs/>
          <w:iCs/>
          <w:sz w:val="24"/>
        </w:rPr>
        <w:t xml:space="preserve">Christopher </w:t>
      </w:r>
      <w:r w:rsidR="00981583" w:rsidRPr="00412A0D">
        <w:rPr>
          <w:bCs/>
          <w:iCs/>
          <w:sz w:val="24"/>
        </w:rPr>
        <w:t>Smith and Liv Yarrow</w:t>
      </w:r>
      <w:r w:rsidRPr="00412A0D">
        <w:rPr>
          <w:bCs/>
          <w:iCs/>
          <w:sz w:val="24"/>
        </w:rPr>
        <w:t xml:space="preserve"> (</w:t>
      </w:r>
      <w:r w:rsidR="00981583" w:rsidRPr="00412A0D">
        <w:rPr>
          <w:bCs/>
          <w:iCs/>
          <w:sz w:val="24"/>
        </w:rPr>
        <w:t>eds.</w:t>
      </w:r>
      <w:r w:rsidRPr="00412A0D">
        <w:rPr>
          <w:bCs/>
          <w:iCs/>
          <w:sz w:val="24"/>
        </w:rPr>
        <w:t>)</w:t>
      </w:r>
      <w:r w:rsidR="00981583" w:rsidRPr="00412A0D">
        <w:rPr>
          <w:bCs/>
          <w:iCs/>
          <w:sz w:val="24"/>
        </w:rPr>
        <w:t xml:space="preserve">, </w:t>
      </w:r>
      <w:r w:rsidR="00981583" w:rsidRPr="00412A0D">
        <w:rPr>
          <w:bCs/>
          <w:i/>
          <w:sz w:val="24"/>
        </w:rPr>
        <w:t>Imperialism, Cultural Politics, and Polybius</w:t>
      </w:r>
      <w:r w:rsidR="00981583" w:rsidRPr="00412A0D">
        <w:rPr>
          <w:bCs/>
          <w:iCs/>
          <w:sz w:val="24"/>
        </w:rPr>
        <w:t xml:space="preserve"> (Oxford 2012)</w:t>
      </w:r>
      <w:r w:rsidR="007A2EA8" w:rsidRPr="00412A0D">
        <w:rPr>
          <w:bCs/>
          <w:iCs/>
          <w:sz w:val="24"/>
        </w:rPr>
        <w:t>.</w:t>
      </w:r>
      <w:r w:rsidR="00981583" w:rsidRPr="00412A0D">
        <w:rPr>
          <w:bCs/>
          <w:iCs/>
          <w:sz w:val="24"/>
        </w:rPr>
        <w:t xml:space="preserve"> </w:t>
      </w:r>
      <w:r w:rsidR="00981583" w:rsidRPr="00412A0D">
        <w:rPr>
          <w:bCs/>
          <w:i/>
          <w:sz w:val="24"/>
        </w:rPr>
        <w:t>Journal of R</w:t>
      </w:r>
      <w:r w:rsidR="00D45569" w:rsidRPr="00412A0D">
        <w:rPr>
          <w:bCs/>
          <w:i/>
          <w:sz w:val="24"/>
        </w:rPr>
        <w:t>oman Studies</w:t>
      </w:r>
      <w:r w:rsidR="00D45569" w:rsidRPr="00412A0D">
        <w:rPr>
          <w:bCs/>
          <w:iCs/>
          <w:sz w:val="24"/>
        </w:rPr>
        <w:t xml:space="preserve"> 103 (2013): 271–</w:t>
      </w:r>
      <w:r w:rsidR="007A2EA8" w:rsidRPr="00412A0D">
        <w:rPr>
          <w:bCs/>
          <w:iCs/>
          <w:sz w:val="24"/>
        </w:rPr>
        <w:t>2</w:t>
      </w:r>
      <w:r w:rsidR="00D45569" w:rsidRPr="00412A0D">
        <w:rPr>
          <w:bCs/>
          <w:iCs/>
          <w:sz w:val="24"/>
        </w:rPr>
        <w:t>72</w:t>
      </w:r>
    </w:p>
    <w:p w14:paraId="667B823E" w14:textId="66AFF977" w:rsidR="00981583" w:rsidRPr="00412A0D" w:rsidRDefault="008007B4" w:rsidP="008723FF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 w:rsidRPr="00412A0D">
        <w:rPr>
          <w:bCs/>
          <w:iCs/>
          <w:sz w:val="24"/>
        </w:rPr>
        <w:t xml:space="preserve">Benjamin </w:t>
      </w:r>
      <w:r w:rsidR="00981583" w:rsidRPr="00412A0D">
        <w:rPr>
          <w:bCs/>
          <w:iCs/>
          <w:sz w:val="24"/>
        </w:rPr>
        <w:t xml:space="preserve">Kelly, </w:t>
      </w:r>
      <w:r w:rsidR="00981583" w:rsidRPr="00412A0D">
        <w:rPr>
          <w:bCs/>
          <w:i/>
          <w:sz w:val="24"/>
        </w:rPr>
        <w:t>Petitions, Litigation, and Social Control in Roman Egypt</w:t>
      </w:r>
      <w:r w:rsidR="00981583" w:rsidRPr="00412A0D">
        <w:rPr>
          <w:bCs/>
          <w:iCs/>
          <w:sz w:val="24"/>
        </w:rPr>
        <w:t xml:space="preserve"> (Oxford 20</w:t>
      </w:r>
      <w:r w:rsidR="00D45569" w:rsidRPr="00412A0D">
        <w:rPr>
          <w:bCs/>
          <w:iCs/>
          <w:sz w:val="24"/>
        </w:rPr>
        <w:t>11)</w:t>
      </w:r>
      <w:r w:rsidR="007A2EA8" w:rsidRPr="00412A0D">
        <w:rPr>
          <w:bCs/>
          <w:iCs/>
          <w:sz w:val="24"/>
        </w:rPr>
        <w:t>.</w:t>
      </w:r>
      <w:r w:rsidR="00D45569" w:rsidRPr="00412A0D">
        <w:rPr>
          <w:bCs/>
          <w:iCs/>
          <w:sz w:val="24"/>
        </w:rPr>
        <w:t xml:space="preserve"> </w:t>
      </w:r>
      <w:r w:rsidR="00D45569" w:rsidRPr="00412A0D">
        <w:rPr>
          <w:bCs/>
          <w:i/>
          <w:sz w:val="24"/>
        </w:rPr>
        <w:t>Mouseion</w:t>
      </w:r>
      <w:r w:rsidR="00D45569" w:rsidRPr="00412A0D">
        <w:rPr>
          <w:bCs/>
          <w:iCs/>
          <w:sz w:val="24"/>
        </w:rPr>
        <w:t xml:space="preserve"> 11 (2013): 142–</w:t>
      </w:r>
      <w:r w:rsidR="007A2EA8" w:rsidRPr="00412A0D">
        <w:rPr>
          <w:bCs/>
          <w:iCs/>
          <w:sz w:val="24"/>
        </w:rPr>
        <w:t>1</w:t>
      </w:r>
      <w:r w:rsidR="00D45569" w:rsidRPr="00412A0D">
        <w:rPr>
          <w:bCs/>
          <w:iCs/>
          <w:sz w:val="24"/>
        </w:rPr>
        <w:t>45</w:t>
      </w:r>
      <w:r w:rsidR="007A2EA8" w:rsidRPr="00412A0D">
        <w:rPr>
          <w:bCs/>
          <w:iCs/>
          <w:sz w:val="24"/>
        </w:rPr>
        <w:t>.</w:t>
      </w:r>
    </w:p>
    <w:p w14:paraId="2B4066FB" w14:textId="2468AC71" w:rsidR="00981583" w:rsidRPr="00412A0D" w:rsidRDefault="008007B4" w:rsidP="008723FF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  <w:lang w:val="de-DE"/>
        </w:rPr>
      </w:pPr>
      <w:r w:rsidRPr="00412A0D">
        <w:rPr>
          <w:bCs/>
          <w:iCs/>
          <w:sz w:val="24"/>
        </w:rPr>
        <w:t xml:space="preserve">Clifford </w:t>
      </w:r>
      <w:r w:rsidR="00981583" w:rsidRPr="00412A0D">
        <w:rPr>
          <w:bCs/>
          <w:iCs/>
          <w:sz w:val="24"/>
        </w:rPr>
        <w:t xml:space="preserve">Ando, </w:t>
      </w:r>
      <w:r w:rsidR="00981583" w:rsidRPr="00412A0D">
        <w:rPr>
          <w:bCs/>
          <w:i/>
          <w:sz w:val="24"/>
        </w:rPr>
        <w:t>Law, Language, and Empire in the Roman Tradition</w:t>
      </w:r>
      <w:r w:rsidR="00981583" w:rsidRPr="00412A0D">
        <w:rPr>
          <w:bCs/>
          <w:iCs/>
          <w:sz w:val="24"/>
        </w:rPr>
        <w:t xml:space="preserve"> (Philadelphia 2011)</w:t>
      </w:r>
      <w:r w:rsidR="007A2EA8" w:rsidRPr="00412A0D">
        <w:rPr>
          <w:bCs/>
          <w:iCs/>
          <w:sz w:val="24"/>
        </w:rPr>
        <w:t>.</w:t>
      </w:r>
      <w:r w:rsidR="00981583" w:rsidRPr="00412A0D">
        <w:rPr>
          <w:bCs/>
          <w:iCs/>
          <w:sz w:val="24"/>
        </w:rPr>
        <w:t xml:space="preserve"> </w:t>
      </w:r>
      <w:r w:rsidR="00981583" w:rsidRPr="00412A0D">
        <w:rPr>
          <w:bCs/>
          <w:i/>
          <w:sz w:val="24"/>
          <w:lang w:val="de-DE"/>
        </w:rPr>
        <w:t>New England Cla</w:t>
      </w:r>
      <w:r w:rsidR="00D45569" w:rsidRPr="00412A0D">
        <w:rPr>
          <w:bCs/>
          <w:i/>
          <w:sz w:val="24"/>
          <w:lang w:val="de-DE"/>
        </w:rPr>
        <w:t>ssical Journal</w:t>
      </w:r>
      <w:r w:rsidR="00D45569" w:rsidRPr="00412A0D">
        <w:rPr>
          <w:bCs/>
          <w:iCs/>
          <w:sz w:val="24"/>
          <w:lang w:val="de-DE"/>
        </w:rPr>
        <w:t xml:space="preserve"> 40 (2013): 54–57</w:t>
      </w:r>
      <w:r w:rsidR="007A2EA8" w:rsidRPr="00412A0D">
        <w:rPr>
          <w:bCs/>
          <w:iCs/>
          <w:sz w:val="24"/>
          <w:lang w:val="de-DE"/>
        </w:rPr>
        <w:t>.</w:t>
      </w:r>
    </w:p>
    <w:p w14:paraId="60BB7895" w14:textId="1B63938A" w:rsidR="00981583" w:rsidRPr="00412A0D" w:rsidRDefault="008007B4" w:rsidP="008723FF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 w:rsidRPr="00412A0D">
        <w:rPr>
          <w:bCs/>
          <w:iCs/>
          <w:sz w:val="24"/>
          <w:lang w:val="de-DE"/>
        </w:rPr>
        <w:t xml:space="preserve">Mischa </w:t>
      </w:r>
      <w:r w:rsidR="00981583" w:rsidRPr="00412A0D">
        <w:rPr>
          <w:bCs/>
          <w:iCs/>
          <w:sz w:val="24"/>
          <w:lang w:val="de-DE"/>
        </w:rPr>
        <w:t>Meier</w:t>
      </w:r>
      <w:r w:rsidRPr="00412A0D">
        <w:rPr>
          <w:bCs/>
          <w:iCs/>
          <w:sz w:val="24"/>
          <w:lang w:val="de-DE"/>
        </w:rPr>
        <w:t xml:space="preserve"> (</w:t>
      </w:r>
      <w:r w:rsidR="00981583" w:rsidRPr="00412A0D">
        <w:rPr>
          <w:bCs/>
          <w:iCs/>
          <w:sz w:val="24"/>
          <w:lang w:val="de-DE"/>
        </w:rPr>
        <w:t>ed.</w:t>
      </w:r>
      <w:r w:rsidRPr="00412A0D">
        <w:rPr>
          <w:bCs/>
          <w:iCs/>
          <w:sz w:val="24"/>
          <w:lang w:val="de-DE"/>
        </w:rPr>
        <w:t>),</w:t>
      </w:r>
      <w:r w:rsidR="00981583" w:rsidRPr="00412A0D">
        <w:rPr>
          <w:bCs/>
          <w:iCs/>
          <w:sz w:val="24"/>
          <w:lang w:val="de-DE"/>
        </w:rPr>
        <w:t xml:space="preserve"> </w:t>
      </w:r>
      <w:r w:rsidR="00981583" w:rsidRPr="00412A0D">
        <w:rPr>
          <w:bCs/>
          <w:i/>
          <w:sz w:val="24"/>
          <w:lang w:val="de-DE"/>
        </w:rPr>
        <w:t>Justinian, Neue Wege der Forschung</w:t>
      </w:r>
      <w:r w:rsidR="00981583" w:rsidRPr="00412A0D">
        <w:rPr>
          <w:bCs/>
          <w:iCs/>
          <w:sz w:val="24"/>
          <w:lang w:val="de-DE"/>
        </w:rPr>
        <w:t xml:space="preserve"> (Darmstadt 2010)</w:t>
      </w:r>
      <w:r w:rsidR="007A2EA8" w:rsidRPr="00412A0D">
        <w:rPr>
          <w:bCs/>
          <w:iCs/>
          <w:sz w:val="24"/>
          <w:lang w:val="de-DE"/>
        </w:rPr>
        <w:t>.</w:t>
      </w:r>
      <w:r w:rsidR="00981583" w:rsidRPr="00412A0D">
        <w:rPr>
          <w:bCs/>
          <w:iCs/>
          <w:sz w:val="24"/>
          <w:lang w:val="de-DE"/>
        </w:rPr>
        <w:t xml:space="preserve"> </w:t>
      </w:r>
      <w:r w:rsidR="00981583" w:rsidRPr="00412A0D">
        <w:rPr>
          <w:bCs/>
          <w:i/>
          <w:sz w:val="24"/>
        </w:rPr>
        <w:t>Journal of R</w:t>
      </w:r>
      <w:r w:rsidR="00D45569" w:rsidRPr="00412A0D">
        <w:rPr>
          <w:bCs/>
          <w:i/>
          <w:sz w:val="24"/>
        </w:rPr>
        <w:t>oman Studies</w:t>
      </w:r>
      <w:r w:rsidR="00D45569" w:rsidRPr="00412A0D">
        <w:rPr>
          <w:bCs/>
          <w:iCs/>
          <w:sz w:val="24"/>
        </w:rPr>
        <w:t xml:space="preserve"> 102 (2012): 417–</w:t>
      </w:r>
      <w:r w:rsidR="007A2EA8" w:rsidRPr="00412A0D">
        <w:rPr>
          <w:bCs/>
          <w:iCs/>
          <w:sz w:val="24"/>
        </w:rPr>
        <w:t>4</w:t>
      </w:r>
      <w:r w:rsidR="00D45569" w:rsidRPr="00412A0D">
        <w:rPr>
          <w:bCs/>
          <w:iCs/>
          <w:sz w:val="24"/>
        </w:rPr>
        <w:t>18</w:t>
      </w:r>
      <w:r w:rsidR="007A2EA8" w:rsidRPr="00412A0D">
        <w:rPr>
          <w:bCs/>
          <w:iCs/>
          <w:sz w:val="24"/>
        </w:rPr>
        <w:t>.</w:t>
      </w:r>
    </w:p>
    <w:p w14:paraId="130DDE53" w14:textId="4B69706D" w:rsidR="00981583" w:rsidRPr="00412A0D" w:rsidRDefault="008007B4" w:rsidP="008723FF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 w:rsidRPr="00412A0D">
        <w:rPr>
          <w:bCs/>
          <w:iCs/>
          <w:sz w:val="24"/>
        </w:rPr>
        <w:t xml:space="preserve">Noel </w:t>
      </w:r>
      <w:r w:rsidR="00981583" w:rsidRPr="00412A0D">
        <w:rPr>
          <w:bCs/>
          <w:iCs/>
          <w:sz w:val="24"/>
        </w:rPr>
        <w:t>Lenski</w:t>
      </w:r>
      <w:r w:rsidRPr="00412A0D">
        <w:rPr>
          <w:bCs/>
          <w:iCs/>
          <w:sz w:val="24"/>
        </w:rPr>
        <w:t xml:space="preserve"> (ed.)</w:t>
      </w:r>
      <w:r w:rsidR="00981583" w:rsidRPr="00412A0D">
        <w:rPr>
          <w:bCs/>
          <w:iCs/>
          <w:sz w:val="24"/>
        </w:rPr>
        <w:t xml:space="preserve">, </w:t>
      </w:r>
      <w:r w:rsidR="00981583" w:rsidRPr="00412A0D">
        <w:rPr>
          <w:bCs/>
          <w:i/>
          <w:sz w:val="24"/>
        </w:rPr>
        <w:t>The Cambridge Companion to the Age of Constantine, Revised edition</w:t>
      </w:r>
      <w:r w:rsidR="00981583" w:rsidRPr="00412A0D">
        <w:rPr>
          <w:bCs/>
          <w:iCs/>
          <w:sz w:val="24"/>
        </w:rPr>
        <w:t xml:space="preserve"> (Cambridge 2012)</w:t>
      </w:r>
      <w:r w:rsidR="007A2EA8" w:rsidRPr="00412A0D">
        <w:rPr>
          <w:bCs/>
          <w:iCs/>
          <w:sz w:val="24"/>
        </w:rPr>
        <w:t>.</w:t>
      </w:r>
      <w:r w:rsidR="00981583" w:rsidRPr="00412A0D">
        <w:rPr>
          <w:bCs/>
          <w:iCs/>
          <w:sz w:val="24"/>
        </w:rPr>
        <w:t xml:space="preserve"> </w:t>
      </w:r>
      <w:r w:rsidR="00981583" w:rsidRPr="00412A0D">
        <w:rPr>
          <w:bCs/>
          <w:i/>
          <w:sz w:val="24"/>
        </w:rPr>
        <w:t>Bryn Mawr Cl</w:t>
      </w:r>
      <w:r w:rsidR="00D45569" w:rsidRPr="00412A0D">
        <w:rPr>
          <w:bCs/>
          <w:i/>
          <w:sz w:val="24"/>
        </w:rPr>
        <w:t>assical Review</w:t>
      </w:r>
      <w:r w:rsidR="00D45569" w:rsidRPr="00412A0D">
        <w:rPr>
          <w:bCs/>
          <w:iCs/>
          <w:sz w:val="24"/>
        </w:rPr>
        <w:t>, August 29, 2012</w:t>
      </w:r>
      <w:r w:rsidR="007A2EA8" w:rsidRPr="00412A0D">
        <w:rPr>
          <w:bCs/>
          <w:iCs/>
          <w:sz w:val="24"/>
        </w:rPr>
        <w:t xml:space="preserve">. </w:t>
      </w:r>
      <w:hyperlink r:id="rId19" w:history="1">
        <w:r w:rsidR="007A2EA8" w:rsidRPr="00412A0D">
          <w:rPr>
            <w:rStyle w:val="Hyperlink"/>
            <w:bCs/>
            <w:iCs/>
            <w:sz w:val="24"/>
          </w:rPr>
          <w:t>https://bmcr.brynmawr.edu/2012/2012.08.52/</w:t>
        </w:r>
      </w:hyperlink>
      <w:r w:rsidR="007A2EA8" w:rsidRPr="00412A0D">
        <w:rPr>
          <w:bCs/>
          <w:iCs/>
          <w:sz w:val="24"/>
        </w:rPr>
        <w:t xml:space="preserve"> </w:t>
      </w:r>
    </w:p>
    <w:p w14:paraId="1616C2BD" w14:textId="491AE615" w:rsidR="00981583" w:rsidRPr="00412A0D" w:rsidRDefault="00981583" w:rsidP="008723FF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 w:rsidRPr="00412A0D">
        <w:rPr>
          <w:bCs/>
          <w:iCs/>
          <w:sz w:val="24"/>
        </w:rPr>
        <w:t xml:space="preserve">Robert M. </w:t>
      </w:r>
      <w:r w:rsidR="008007B4" w:rsidRPr="00412A0D">
        <w:rPr>
          <w:bCs/>
          <w:iCs/>
          <w:sz w:val="24"/>
        </w:rPr>
        <w:t xml:space="preserve">Frakes, </w:t>
      </w:r>
      <w:r w:rsidRPr="00412A0D">
        <w:rPr>
          <w:bCs/>
          <w:i/>
          <w:sz w:val="24"/>
        </w:rPr>
        <w:t>Compiling the Collatio Legum Mosaicarum et Romanarum in Late Antiquity</w:t>
      </w:r>
      <w:r w:rsidRPr="00412A0D">
        <w:rPr>
          <w:bCs/>
          <w:iCs/>
          <w:sz w:val="24"/>
        </w:rPr>
        <w:t>, Oxford Studies in Roman Society &amp; Law (Oxford 2011</w:t>
      </w:r>
      <w:r w:rsidR="00D45569" w:rsidRPr="00412A0D">
        <w:rPr>
          <w:bCs/>
          <w:iCs/>
          <w:sz w:val="24"/>
        </w:rPr>
        <w:t>)</w:t>
      </w:r>
      <w:r w:rsidR="007A2EA8" w:rsidRPr="00412A0D">
        <w:rPr>
          <w:bCs/>
          <w:iCs/>
          <w:sz w:val="24"/>
        </w:rPr>
        <w:t>.</w:t>
      </w:r>
      <w:r w:rsidR="00D45569" w:rsidRPr="00412A0D">
        <w:rPr>
          <w:bCs/>
          <w:iCs/>
          <w:sz w:val="24"/>
        </w:rPr>
        <w:t xml:space="preserve"> </w:t>
      </w:r>
      <w:r w:rsidR="00D45569" w:rsidRPr="00412A0D">
        <w:rPr>
          <w:bCs/>
          <w:i/>
          <w:sz w:val="24"/>
        </w:rPr>
        <w:t>H-Soz-Kult</w:t>
      </w:r>
      <w:r w:rsidR="00D45569" w:rsidRPr="00412A0D">
        <w:rPr>
          <w:bCs/>
          <w:iCs/>
          <w:sz w:val="24"/>
        </w:rPr>
        <w:t>, January 16, 2012</w:t>
      </w:r>
      <w:r w:rsidR="007A2EA8" w:rsidRPr="00412A0D">
        <w:rPr>
          <w:bCs/>
          <w:iCs/>
          <w:sz w:val="24"/>
        </w:rPr>
        <w:t xml:space="preserve">. </w:t>
      </w:r>
      <w:hyperlink r:id="rId20" w:history="1">
        <w:r w:rsidR="007A2EA8" w:rsidRPr="00412A0D">
          <w:rPr>
            <w:rStyle w:val="Hyperlink"/>
            <w:bCs/>
            <w:iCs/>
            <w:sz w:val="24"/>
          </w:rPr>
          <w:t>https://hsozkult.geschichte.hu-berlin.de/rezensionen/2012-1-030.pdf</w:t>
        </w:r>
      </w:hyperlink>
      <w:r w:rsidR="007A2EA8" w:rsidRPr="00412A0D">
        <w:rPr>
          <w:bCs/>
          <w:iCs/>
          <w:sz w:val="24"/>
        </w:rPr>
        <w:t xml:space="preserve"> </w:t>
      </w:r>
    </w:p>
    <w:p w14:paraId="02398310" w14:textId="102CD071" w:rsidR="00981583" w:rsidRPr="00412A0D" w:rsidRDefault="008007B4" w:rsidP="008723FF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 w:rsidRPr="00412A0D">
        <w:rPr>
          <w:bCs/>
          <w:iCs/>
          <w:sz w:val="24"/>
        </w:rPr>
        <w:lastRenderedPageBreak/>
        <w:t xml:space="preserve">John </w:t>
      </w:r>
      <w:r w:rsidR="00981583" w:rsidRPr="00412A0D">
        <w:rPr>
          <w:bCs/>
          <w:iCs/>
          <w:sz w:val="24"/>
        </w:rPr>
        <w:t xml:space="preserve">Richardson, </w:t>
      </w:r>
      <w:r w:rsidR="00981583" w:rsidRPr="00412A0D">
        <w:rPr>
          <w:bCs/>
          <w:i/>
          <w:sz w:val="24"/>
        </w:rPr>
        <w:t>The Language of Empire: Rome and the Idea of Empire from the Third Century BC to the Second Century AD</w:t>
      </w:r>
      <w:r w:rsidR="00981583" w:rsidRPr="00412A0D">
        <w:rPr>
          <w:bCs/>
          <w:iCs/>
          <w:sz w:val="24"/>
        </w:rPr>
        <w:t xml:space="preserve"> (Cambridge 2008)</w:t>
      </w:r>
      <w:r w:rsidR="007A2EA8" w:rsidRPr="00412A0D">
        <w:rPr>
          <w:bCs/>
          <w:iCs/>
          <w:sz w:val="24"/>
        </w:rPr>
        <w:t>.</w:t>
      </w:r>
      <w:r w:rsidR="00981583" w:rsidRPr="00412A0D">
        <w:rPr>
          <w:bCs/>
          <w:iCs/>
          <w:sz w:val="24"/>
        </w:rPr>
        <w:t xml:space="preserve"> </w:t>
      </w:r>
      <w:r w:rsidR="00981583" w:rsidRPr="00412A0D">
        <w:rPr>
          <w:bCs/>
          <w:i/>
          <w:sz w:val="24"/>
        </w:rPr>
        <w:t>Ancient History Bulletin Online Reviews</w:t>
      </w:r>
      <w:r w:rsidR="00981583" w:rsidRPr="00412A0D">
        <w:rPr>
          <w:bCs/>
          <w:iCs/>
          <w:sz w:val="24"/>
        </w:rPr>
        <w:t xml:space="preserve"> 1 (2011): 73–75.</w:t>
      </w:r>
      <w:r w:rsidR="007A2EA8" w:rsidRPr="00412A0D">
        <w:t xml:space="preserve"> </w:t>
      </w:r>
      <w:hyperlink r:id="rId21" w:history="1">
        <w:r w:rsidR="007A2EA8" w:rsidRPr="00412A0D">
          <w:rPr>
            <w:rStyle w:val="Hyperlink"/>
            <w:bCs/>
            <w:iCs/>
            <w:sz w:val="24"/>
          </w:rPr>
          <w:t>https://ancienthistorybulletin.org/wp-content/uploads/2014/08/AHBReviews201122.DillonOnRichardson.pdf</w:t>
        </w:r>
      </w:hyperlink>
      <w:r w:rsidR="007A2EA8" w:rsidRPr="00412A0D">
        <w:rPr>
          <w:bCs/>
          <w:iCs/>
          <w:sz w:val="24"/>
        </w:rPr>
        <w:t xml:space="preserve"> </w:t>
      </w:r>
    </w:p>
    <w:p w14:paraId="7365AB57" w14:textId="5DBA7665" w:rsidR="00981583" w:rsidRPr="00412A0D" w:rsidRDefault="008007B4" w:rsidP="008723FF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 w:rsidRPr="00412A0D">
        <w:rPr>
          <w:bCs/>
          <w:iCs/>
          <w:sz w:val="24"/>
        </w:rPr>
        <w:t xml:space="preserve">Robin </w:t>
      </w:r>
      <w:r w:rsidR="00981583" w:rsidRPr="00412A0D">
        <w:rPr>
          <w:bCs/>
          <w:iCs/>
          <w:sz w:val="24"/>
        </w:rPr>
        <w:t>Waterfield</w:t>
      </w:r>
      <w:r w:rsidRPr="00412A0D">
        <w:rPr>
          <w:bCs/>
          <w:iCs/>
          <w:sz w:val="24"/>
        </w:rPr>
        <w:t xml:space="preserve"> (</w:t>
      </w:r>
      <w:r w:rsidR="00981583" w:rsidRPr="00412A0D">
        <w:rPr>
          <w:bCs/>
          <w:iCs/>
          <w:sz w:val="24"/>
        </w:rPr>
        <w:t>trans.</w:t>
      </w:r>
      <w:r w:rsidRPr="00412A0D">
        <w:rPr>
          <w:bCs/>
          <w:iCs/>
          <w:sz w:val="24"/>
        </w:rPr>
        <w:t>),</w:t>
      </w:r>
      <w:r w:rsidR="00981583" w:rsidRPr="00412A0D">
        <w:rPr>
          <w:bCs/>
          <w:iCs/>
          <w:sz w:val="24"/>
        </w:rPr>
        <w:t xml:space="preserve"> </w:t>
      </w:r>
      <w:r w:rsidR="00981583" w:rsidRPr="00412A0D">
        <w:rPr>
          <w:bCs/>
          <w:i/>
          <w:sz w:val="24"/>
        </w:rPr>
        <w:t>Polybius, The Histories</w:t>
      </w:r>
      <w:r w:rsidR="00981583" w:rsidRPr="00412A0D">
        <w:rPr>
          <w:bCs/>
          <w:iCs/>
          <w:sz w:val="24"/>
        </w:rPr>
        <w:t xml:space="preserve"> (Oxford 2010)</w:t>
      </w:r>
      <w:r w:rsidR="00285060" w:rsidRPr="00412A0D">
        <w:rPr>
          <w:bCs/>
          <w:iCs/>
          <w:sz w:val="24"/>
        </w:rPr>
        <w:t>.</w:t>
      </w:r>
      <w:r w:rsidR="00981583" w:rsidRPr="00412A0D">
        <w:rPr>
          <w:bCs/>
          <w:iCs/>
          <w:sz w:val="24"/>
        </w:rPr>
        <w:t xml:space="preserve"> </w:t>
      </w:r>
      <w:r w:rsidR="00981583" w:rsidRPr="00412A0D">
        <w:rPr>
          <w:bCs/>
          <w:i/>
          <w:sz w:val="24"/>
        </w:rPr>
        <w:t>Bryn Mawr Cl</w:t>
      </w:r>
      <w:r w:rsidR="00D45569" w:rsidRPr="00412A0D">
        <w:rPr>
          <w:bCs/>
          <w:i/>
          <w:sz w:val="24"/>
        </w:rPr>
        <w:t>assical Review</w:t>
      </w:r>
      <w:r w:rsidR="00D45569" w:rsidRPr="00412A0D">
        <w:rPr>
          <w:bCs/>
          <w:iCs/>
          <w:sz w:val="24"/>
        </w:rPr>
        <w:t>, August 16, 2011</w:t>
      </w:r>
      <w:r w:rsidR="00285060" w:rsidRPr="00412A0D">
        <w:rPr>
          <w:bCs/>
          <w:iCs/>
          <w:sz w:val="24"/>
        </w:rPr>
        <w:t xml:space="preserve">. </w:t>
      </w:r>
      <w:hyperlink r:id="rId22" w:history="1">
        <w:r w:rsidR="00285060" w:rsidRPr="00412A0D">
          <w:rPr>
            <w:rStyle w:val="Hyperlink"/>
            <w:bCs/>
            <w:iCs/>
            <w:sz w:val="24"/>
          </w:rPr>
          <w:t>https://bmcr.brynmawr.edu/2011/2011.08.29/</w:t>
        </w:r>
      </w:hyperlink>
      <w:r w:rsidR="00285060" w:rsidRPr="00412A0D">
        <w:rPr>
          <w:bCs/>
          <w:iCs/>
          <w:sz w:val="24"/>
        </w:rPr>
        <w:t xml:space="preserve"> </w:t>
      </w:r>
    </w:p>
    <w:p w14:paraId="1E6B2118" w14:textId="00D2AEA0" w:rsidR="00981583" w:rsidRPr="00412A0D" w:rsidRDefault="008007B4" w:rsidP="008723FF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  <w:lang w:val="de-DE"/>
        </w:rPr>
      </w:pPr>
      <w:r w:rsidRPr="00412A0D">
        <w:rPr>
          <w:bCs/>
          <w:iCs/>
          <w:sz w:val="24"/>
        </w:rPr>
        <w:t xml:space="preserve">H. H. </w:t>
      </w:r>
      <w:r w:rsidR="00981583" w:rsidRPr="00412A0D">
        <w:rPr>
          <w:bCs/>
          <w:iCs/>
          <w:sz w:val="24"/>
        </w:rPr>
        <w:t xml:space="preserve">Scullard, </w:t>
      </w:r>
      <w:r w:rsidR="00981583" w:rsidRPr="00412A0D">
        <w:rPr>
          <w:bCs/>
          <w:i/>
          <w:sz w:val="24"/>
        </w:rPr>
        <w:t>From the Gracchi to Nero: A History of Rome 133 B.C. to A.D. 68</w:t>
      </w:r>
      <w:r w:rsidR="00981583" w:rsidRPr="00412A0D">
        <w:rPr>
          <w:bCs/>
          <w:iCs/>
          <w:sz w:val="24"/>
        </w:rPr>
        <w:t xml:space="preserve"> (first published 1959; London</w:t>
      </w:r>
      <w:r w:rsidR="009D5899" w:rsidRPr="00412A0D">
        <w:rPr>
          <w:bCs/>
          <w:iCs/>
          <w:sz w:val="24"/>
        </w:rPr>
        <w:t>/</w:t>
      </w:r>
      <w:r w:rsidR="00981583" w:rsidRPr="00412A0D">
        <w:rPr>
          <w:bCs/>
          <w:iCs/>
          <w:sz w:val="24"/>
        </w:rPr>
        <w:t>New York 2011)</w:t>
      </w:r>
      <w:r w:rsidR="00285060" w:rsidRPr="00412A0D">
        <w:rPr>
          <w:bCs/>
          <w:iCs/>
          <w:sz w:val="24"/>
        </w:rPr>
        <w:t>.</w:t>
      </w:r>
      <w:r w:rsidR="00981583" w:rsidRPr="00412A0D">
        <w:rPr>
          <w:bCs/>
          <w:iCs/>
          <w:sz w:val="24"/>
        </w:rPr>
        <w:t xml:space="preserve"> </w:t>
      </w:r>
      <w:r w:rsidR="00981583" w:rsidRPr="00412A0D">
        <w:rPr>
          <w:bCs/>
          <w:i/>
          <w:sz w:val="24"/>
          <w:lang w:val="de-DE"/>
        </w:rPr>
        <w:t xml:space="preserve">Bryn Mawr </w:t>
      </w:r>
      <w:r w:rsidR="00D45569" w:rsidRPr="00412A0D">
        <w:rPr>
          <w:bCs/>
          <w:i/>
          <w:sz w:val="24"/>
          <w:lang w:val="de-DE"/>
        </w:rPr>
        <w:t>Classical Review</w:t>
      </w:r>
      <w:r w:rsidR="00D45569" w:rsidRPr="00412A0D">
        <w:rPr>
          <w:bCs/>
          <w:iCs/>
          <w:sz w:val="24"/>
          <w:lang w:val="de-DE"/>
        </w:rPr>
        <w:t>, July 22, 2011</w:t>
      </w:r>
      <w:r w:rsidR="00285060" w:rsidRPr="00412A0D">
        <w:rPr>
          <w:bCs/>
          <w:iCs/>
          <w:sz w:val="24"/>
          <w:lang w:val="de-DE"/>
        </w:rPr>
        <w:t>.</w:t>
      </w:r>
      <w:r w:rsidR="00285060" w:rsidRPr="00412A0D">
        <w:rPr>
          <w:lang w:val="de-DE"/>
        </w:rPr>
        <w:t xml:space="preserve"> </w:t>
      </w:r>
      <w:hyperlink r:id="rId23" w:history="1">
        <w:r w:rsidR="00285060" w:rsidRPr="00412A0D">
          <w:rPr>
            <w:rStyle w:val="Hyperlink"/>
            <w:bCs/>
            <w:iCs/>
            <w:sz w:val="24"/>
            <w:lang w:val="de-DE"/>
          </w:rPr>
          <w:t>https://bmcr.brynmawr.edu/2011/2011.07.36/</w:t>
        </w:r>
      </w:hyperlink>
      <w:r w:rsidR="00285060" w:rsidRPr="00412A0D">
        <w:rPr>
          <w:bCs/>
          <w:iCs/>
          <w:sz w:val="24"/>
          <w:lang w:val="de-DE"/>
        </w:rPr>
        <w:t xml:space="preserve"> </w:t>
      </w:r>
    </w:p>
    <w:p w14:paraId="0EE16346" w14:textId="1222D52F" w:rsidR="00981583" w:rsidRPr="00412A0D" w:rsidRDefault="008007B4" w:rsidP="008723FF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 w:rsidRPr="00412A0D">
        <w:rPr>
          <w:bCs/>
          <w:iCs/>
          <w:sz w:val="24"/>
          <w:lang w:val="de-DE"/>
        </w:rPr>
        <w:t xml:space="preserve">Christoph </w:t>
      </w:r>
      <w:r w:rsidR="00981583" w:rsidRPr="00412A0D">
        <w:rPr>
          <w:bCs/>
          <w:iCs/>
          <w:sz w:val="24"/>
          <w:lang w:val="de-DE"/>
        </w:rPr>
        <w:t>Auffarth</w:t>
      </w:r>
      <w:r w:rsidRPr="00412A0D">
        <w:rPr>
          <w:bCs/>
          <w:iCs/>
          <w:sz w:val="24"/>
          <w:lang w:val="de-DE"/>
        </w:rPr>
        <w:t xml:space="preserve"> (ed.)</w:t>
      </w:r>
      <w:r w:rsidR="00981583" w:rsidRPr="00412A0D">
        <w:rPr>
          <w:bCs/>
          <w:iCs/>
          <w:sz w:val="24"/>
          <w:lang w:val="de-DE"/>
        </w:rPr>
        <w:t xml:space="preserve">, </w:t>
      </w:r>
      <w:r w:rsidR="00981583" w:rsidRPr="00412A0D">
        <w:rPr>
          <w:bCs/>
          <w:i/>
          <w:sz w:val="24"/>
          <w:lang w:val="de-DE"/>
        </w:rPr>
        <w:t>Religion auf dem Lande: Entstehung und Veränderung von Sakrallandschaften unter römischer Herrschaft</w:t>
      </w:r>
      <w:r w:rsidR="00981583" w:rsidRPr="00412A0D">
        <w:rPr>
          <w:bCs/>
          <w:iCs/>
          <w:sz w:val="24"/>
          <w:lang w:val="de-DE"/>
        </w:rPr>
        <w:t xml:space="preserve"> (Stuttgart 2009)</w:t>
      </w:r>
      <w:r w:rsidR="00285060" w:rsidRPr="00412A0D">
        <w:rPr>
          <w:bCs/>
          <w:iCs/>
          <w:sz w:val="24"/>
          <w:lang w:val="de-DE"/>
        </w:rPr>
        <w:t>.</w:t>
      </w:r>
      <w:r w:rsidR="00981583" w:rsidRPr="00412A0D">
        <w:rPr>
          <w:bCs/>
          <w:iCs/>
          <w:sz w:val="24"/>
          <w:lang w:val="de-DE"/>
        </w:rPr>
        <w:t xml:space="preserve"> </w:t>
      </w:r>
      <w:r w:rsidR="00981583" w:rsidRPr="00412A0D">
        <w:rPr>
          <w:bCs/>
          <w:i/>
          <w:sz w:val="24"/>
        </w:rPr>
        <w:t>Bryn Mawr C</w:t>
      </w:r>
      <w:r w:rsidR="00D45569" w:rsidRPr="00412A0D">
        <w:rPr>
          <w:bCs/>
          <w:i/>
          <w:sz w:val="24"/>
        </w:rPr>
        <w:t>lassical Review</w:t>
      </w:r>
      <w:r w:rsidR="00D45569" w:rsidRPr="00412A0D">
        <w:rPr>
          <w:bCs/>
          <w:iCs/>
          <w:sz w:val="24"/>
        </w:rPr>
        <w:t>, April 22, 2010</w:t>
      </w:r>
      <w:r w:rsidR="00285060" w:rsidRPr="00412A0D">
        <w:rPr>
          <w:bCs/>
          <w:iCs/>
          <w:sz w:val="24"/>
        </w:rPr>
        <w:t xml:space="preserve">. </w:t>
      </w:r>
      <w:hyperlink r:id="rId24" w:history="1">
        <w:r w:rsidR="00285060" w:rsidRPr="00412A0D">
          <w:rPr>
            <w:rStyle w:val="Hyperlink"/>
            <w:bCs/>
            <w:iCs/>
            <w:sz w:val="24"/>
          </w:rPr>
          <w:t>https://bmcr.brynmawr.edu/2010/2010.04.22/</w:t>
        </w:r>
      </w:hyperlink>
      <w:r w:rsidR="00285060" w:rsidRPr="00412A0D">
        <w:rPr>
          <w:bCs/>
          <w:iCs/>
          <w:sz w:val="24"/>
        </w:rPr>
        <w:t xml:space="preserve"> </w:t>
      </w:r>
    </w:p>
    <w:p w14:paraId="77AA27D4" w14:textId="29060DB8" w:rsidR="00981583" w:rsidRPr="00412A0D" w:rsidRDefault="008007B4" w:rsidP="008723FF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  <w:lang w:val="de-DE"/>
        </w:rPr>
      </w:pPr>
      <w:r w:rsidRPr="00412A0D">
        <w:rPr>
          <w:bCs/>
          <w:iCs/>
          <w:sz w:val="24"/>
        </w:rPr>
        <w:t xml:space="preserve">Paul </w:t>
      </w:r>
      <w:r w:rsidR="00981583" w:rsidRPr="00412A0D">
        <w:rPr>
          <w:bCs/>
          <w:iCs/>
          <w:sz w:val="24"/>
        </w:rPr>
        <w:t>Dräger</w:t>
      </w:r>
      <w:r w:rsidRPr="00412A0D">
        <w:rPr>
          <w:bCs/>
          <w:iCs/>
          <w:sz w:val="24"/>
        </w:rPr>
        <w:t xml:space="preserve"> (ed.</w:t>
      </w:r>
      <w:r w:rsidR="00285060" w:rsidRPr="00412A0D">
        <w:rPr>
          <w:bCs/>
          <w:iCs/>
          <w:sz w:val="24"/>
        </w:rPr>
        <w:t xml:space="preserve"> and </w:t>
      </w:r>
      <w:r w:rsidRPr="00412A0D">
        <w:rPr>
          <w:bCs/>
          <w:iCs/>
          <w:sz w:val="24"/>
        </w:rPr>
        <w:t>trans.)</w:t>
      </w:r>
      <w:r w:rsidR="00981583" w:rsidRPr="00412A0D">
        <w:rPr>
          <w:bCs/>
          <w:iCs/>
          <w:sz w:val="24"/>
        </w:rPr>
        <w:t xml:space="preserve">, </w:t>
      </w:r>
      <w:r w:rsidR="00981583" w:rsidRPr="00412A0D">
        <w:rPr>
          <w:bCs/>
          <w:i/>
          <w:sz w:val="24"/>
        </w:rPr>
        <w:t xml:space="preserve">Eusebios. </w:t>
      </w:r>
      <w:r w:rsidR="00981583" w:rsidRPr="00412A0D">
        <w:rPr>
          <w:bCs/>
          <w:i/>
          <w:sz w:val="24"/>
          <w:lang w:val="de-DE"/>
        </w:rPr>
        <w:t>Über das Leben des glückseligen Kaisers Konstantin</w:t>
      </w:r>
      <w:r w:rsidR="00981583" w:rsidRPr="00412A0D">
        <w:rPr>
          <w:bCs/>
          <w:iCs/>
          <w:sz w:val="24"/>
          <w:lang w:val="de-DE"/>
        </w:rPr>
        <w:t>, Utopica 1 (Oberhaid 2007</w:t>
      </w:r>
      <w:r w:rsidR="00285060" w:rsidRPr="00412A0D">
        <w:rPr>
          <w:bCs/>
          <w:iCs/>
          <w:sz w:val="24"/>
          <w:lang w:val="de-DE"/>
        </w:rPr>
        <w:t>).</w:t>
      </w:r>
      <w:r w:rsidR="00981583" w:rsidRPr="00412A0D">
        <w:rPr>
          <w:bCs/>
          <w:iCs/>
          <w:sz w:val="24"/>
          <w:lang w:val="de-DE"/>
        </w:rPr>
        <w:t xml:space="preserve"> </w:t>
      </w:r>
      <w:r w:rsidR="00981583" w:rsidRPr="00412A0D">
        <w:rPr>
          <w:bCs/>
          <w:i/>
          <w:sz w:val="24"/>
          <w:lang w:val="de-DE"/>
        </w:rPr>
        <w:t>Bryn Mawr</w:t>
      </w:r>
      <w:r w:rsidR="00D45569" w:rsidRPr="00412A0D">
        <w:rPr>
          <w:bCs/>
          <w:i/>
          <w:sz w:val="24"/>
          <w:lang w:val="de-DE"/>
        </w:rPr>
        <w:t xml:space="preserve"> Classical Review</w:t>
      </w:r>
      <w:r w:rsidR="00D45569" w:rsidRPr="00412A0D">
        <w:rPr>
          <w:bCs/>
          <w:iCs/>
          <w:sz w:val="24"/>
          <w:lang w:val="de-DE"/>
        </w:rPr>
        <w:t>, July 7, 2007</w:t>
      </w:r>
      <w:r w:rsidR="00285060" w:rsidRPr="00412A0D">
        <w:rPr>
          <w:bCs/>
          <w:iCs/>
          <w:sz w:val="24"/>
          <w:lang w:val="de-DE"/>
        </w:rPr>
        <w:t xml:space="preserve">. </w:t>
      </w:r>
      <w:hyperlink r:id="rId25" w:history="1">
        <w:r w:rsidR="00285060" w:rsidRPr="00412A0D">
          <w:rPr>
            <w:rStyle w:val="Hyperlink"/>
            <w:bCs/>
            <w:iCs/>
            <w:sz w:val="24"/>
            <w:lang w:val="de-DE"/>
          </w:rPr>
          <w:t>https://bmcr.brynmawr.edu/2007/2007.07.57/</w:t>
        </w:r>
      </w:hyperlink>
      <w:r w:rsidR="00285060" w:rsidRPr="00412A0D">
        <w:rPr>
          <w:bCs/>
          <w:iCs/>
          <w:sz w:val="24"/>
          <w:lang w:val="de-DE"/>
        </w:rPr>
        <w:t xml:space="preserve"> </w:t>
      </w:r>
    </w:p>
    <w:p w14:paraId="55C6E115" w14:textId="0CC71AF8" w:rsidR="00981583" w:rsidRPr="00412A0D" w:rsidRDefault="008007B4" w:rsidP="008723FF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 w:rsidRPr="00412A0D">
        <w:rPr>
          <w:bCs/>
          <w:iCs/>
          <w:sz w:val="24"/>
          <w:lang w:val="de-DE"/>
        </w:rPr>
        <w:t xml:space="preserve">Michaela </w:t>
      </w:r>
      <w:r w:rsidR="00981583" w:rsidRPr="00412A0D">
        <w:rPr>
          <w:bCs/>
          <w:iCs/>
          <w:sz w:val="24"/>
          <w:lang w:val="de-DE"/>
        </w:rPr>
        <w:t>Pfeiffer</w:t>
      </w:r>
      <w:r w:rsidRPr="00412A0D">
        <w:rPr>
          <w:bCs/>
          <w:iCs/>
          <w:sz w:val="24"/>
          <w:lang w:val="de-DE"/>
        </w:rPr>
        <w:t xml:space="preserve"> (ed./trans.)</w:t>
      </w:r>
      <w:r w:rsidR="00981583" w:rsidRPr="00412A0D">
        <w:rPr>
          <w:bCs/>
          <w:iCs/>
          <w:sz w:val="24"/>
          <w:lang w:val="de-DE"/>
        </w:rPr>
        <w:t xml:space="preserve">, </w:t>
      </w:r>
      <w:r w:rsidR="00981583" w:rsidRPr="00412A0D">
        <w:rPr>
          <w:bCs/>
          <w:i/>
          <w:sz w:val="24"/>
          <w:lang w:val="de-DE"/>
        </w:rPr>
        <w:t>Cornelius Nepos: Berühmte Männer, De viris illustribus lateinisch-deutsch</w:t>
      </w:r>
      <w:r w:rsidR="00981583" w:rsidRPr="00412A0D">
        <w:rPr>
          <w:bCs/>
          <w:iCs/>
          <w:sz w:val="24"/>
          <w:lang w:val="de-DE"/>
        </w:rPr>
        <w:t>, Sammlung Tusculum (Düsseldorf 2006)</w:t>
      </w:r>
      <w:r w:rsidR="00285060" w:rsidRPr="00412A0D">
        <w:rPr>
          <w:bCs/>
          <w:iCs/>
          <w:sz w:val="24"/>
          <w:lang w:val="de-DE"/>
        </w:rPr>
        <w:t>.</w:t>
      </w:r>
      <w:r w:rsidR="00981583" w:rsidRPr="00412A0D">
        <w:rPr>
          <w:bCs/>
          <w:iCs/>
          <w:sz w:val="24"/>
          <w:lang w:val="de-DE"/>
        </w:rPr>
        <w:t xml:space="preserve"> </w:t>
      </w:r>
      <w:r w:rsidR="00981583" w:rsidRPr="00412A0D">
        <w:rPr>
          <w:bCs/>
          <w:i/>
          <w:sz w:val="24"/>
        </w:rPr>
        <w:t>Bryn Mawr Cl</w:t>
      </w:r>
      <w:r w:rsidR="00D45569" w:rsidRPr="00412A0D">
        <w:rPr>
          <w:bCs/>
          <w:i/>
          <w:sz w:val="24"/>
        </w:rPr>
        <w:t>assical Review</w:t>
      </w:r>
      <w:r w:rsidR="00D45569" w:rsidRPr="00412A0D">
        <w:rPr>
          <w:bCs/>
          <w:iCs/>
          <w:sz w:val="24"/>
        </w:rPr>
        <w:t>, October 2, 2006</w:t>
      </w:r>
      <w:r w:rsidR="00285060" w:rsidRPr="00412A0D">
        <w:rPr>
          <w:bCs/>
          <w:iCs/>
          <w:sz w:val="24"/>
        </w:rPr>
        <w:t>.</w:t>
      </w:r>
      <w:r w:rsidR="00285060" w:rsidRPr="00412A0D">
        <w:t xml:space="preserve"> </w:t>
      </w:r>
      <w:hyperlink r:id="rId26" w:history="1">
        <w:r w:rsidR="00285060" w:rsidRPr="00412A0D">
          <w:rPr>
            <w:rStyle w:val="Hyperlink"/>
            <w:bCs/>
            <w:iCs/>
            <w:sz w:val="24"/>
          </w:rPr>
          <w:t>https://bmcr.brynmawr.edu/2006/2006.10.02/</w:t>
        </w:r>
      </w:hyperlink>
      <w:r w:rsidR="00285060" w:rsidRPr="00412A0D">
        <w:rPr>
          <w:bCs/>
          <w:iCs/>
          <w:sz w:val="24"/>
        </w:rPr>
        <w:t xml:space="preserve"> </w:t>
      </w:r>
    </w:p>
    <w:p w14:paraId="4D62545E" w14:textId="77777777" w:rsidR="00D95002" w:rsidRPr="00412A0D" w:rsidRDefault="00D95002" w:rsidP="008723FF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</w:p>
    <w:p w14:paraId="60F2CDA0" w14:textId="030F89BC" w:rsidR="00981583" w:rsidRPr="00412A0D" w:rsidRDefault="00981583" w:rsidP="00412A0D">
      <w:pPr>
        <w:pStyle w:val="Heading1"/>
        <w:rPr>
          <w:sz w:val="28"/>
          <w:szCs w:val="28"/>
        </w:rPr>
      </w:pPr>
      <w:r w:rsidRPr="00412A0D">
        <w:rPr>
          <w:sz w:val="28"/>
          <w:szCs w:val="28"/>
        </w:rPr>
        <w:t>Talks</w:t>
      </w:r>
    </w:p>
    <w:p w14:paraId="0D7AF592" w14:textId="08A85E76" w:rsidR="00C460A0" w:rsidRDefault="00C460A0" w:rsidP="008723FF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>
        <w:rPr>
          <w:bCs/>
          <w:iCs/>
          <w:sz w:val="24"/>
        </w:rPr>
        <w:t xml:space="preserve">“Translating the </w:t>
      </w:r>
      <w:r w:rsidRPr="00C460A0">
        <w:rPr>
          <w:bCs/>
          <w:i/>
          <w:sz w:val="24"/>
        </w:rPr>
        <w:t>Theodosian Code</w:t>
      </w:r>
      <w:r>
        <w:rPr>
          <w:bCs/>
          <w:iCs/>
          <w:sz w:val="24"/>
        </w:rPr>
        <w:t xml:space="preserve">, or: The Wacky World of Later Roman Law.” Keynote address, Yale Certamen 2024. November 9, 2024. </w:t>
      </w:r>
      <w:r w:rsidR="00830D27">
        <w:rPr>
          <w:bCs/>
          <w:iCs/>
          <w:sz w:val="24"/>
        </w:rPr>
        <w:t xml:space="preserve">[A </w:t>
      </w:r>
      <w:r>
        <w:rPr>
          <w:bCs/>
          <w:iCs/>
          <w:sz w:val="24"/>
        </w:rPr>
        <w:t xml:space="preserve">light-hearted talk for </w:t>
      </w:r>
      <w:r w:rsidR="00830D27">
        <w:rPr>
          <w:bCs/>
          <w:iCs/>
          <w:sz w:val="24"/>
        </w:rPr>
        <w:t xml:space="preserve">the participants </w:t>
      </w:r>
      <w:r w:rsidR="0009315E">
        <w:rPr>
          <w:bCs/>
          <w:iCs/>
          <w:sz w:val="24"/>
        </w:rPr>
        <w:t xml:space="preserve">of </w:t>
      </w:r>
      <w:r>
        <w:rPr>
          <w:bCs/>
          <w:iCs/>
          <w:sz w:val="24"/>
        </w:rPr>
        <w:t xml:space="preserve">a </w:t>
      </w:r>
      <w:r w:rsidR="00830D27">
        <w:rPr>
          <w:bCs/>
          <w:iCs/>
          <w:sz w:val="24"/>
        </w:rPr>
        <w:t>regional trivia competition dedicated to Latin, culture, history, and mythology.]</w:t>
      </w:r>
    </w:p>
    <w:p w14:paraId="287DCB04" w14:textId="18FF1951" w:rsidR="001F13C3" w:rsidRPr="001F13C3" w:rsidRDefault="001F13C3" w:rsidP="008723FF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>
        <w:rPr>
          <w:bCs/>
          <w:iCs/>
          <w:sz w:val="24"/>
        </w:rPr>
        <w:t xml:space="preserve">“Reading </w:t>
      </w:r>
      <w:r>
        <w:rPr>
          <w:bCs/>
          <w:i/>
          <w:sz w:val="24"/>
        </w:rPr>
        <w:t>Mittelhochdeutsch</w:t>
      </w:r>
      <w:r>
        <w:rPr>
          <w:bCs/>
          <w:iCs/>
          <w:sz w:val="24"/>
        </w:rPr>
        <w:t>: A Practical Guide.” German Department, Yale University. September 6, 2024.</w:t>
      </w:r>
    </w:p>
    <w:p w14:paraId="03DE3EEA" w14:textId="4B08B7BE" w:rsidR="00897794" w:rsidRPr="00137DE9" w:rsidRDefault="00897794" w:rsidP="008723FF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  <w:lang w:val="de-DE"/>
        </w:rPr>
      </w:pPr>
      <w:r w:rsidRPr="00137DE9">
        <w:rPr>
          <w:bCs/>
          <w:iCs/>
          <w:sz w:val="24"/>
          <w:lang w:val="de-DE"/>
        </w:rPr>
        <w:t>“</w:t>
      </w:r>
      <w:r w:rsidR="00137DE9" w:rsidRPr="00137DE9">
        <w:rPr>
          <w:bCs/>
          <w:iCs/>
          <w:sz w:val="24"/>
          <w:lang w:val="de-DE"/>
        </w:rPr>
        <w:t xml:space="preserve">Eine neue Übersetzung des </w:t>
      </w:r>
      <w:r w:rsidR="00137DE9" w:rsidRPr="00137DE9">
        <w:rPr>
          <w:bCs/>
          <w:i/>
          <w:iCs/>
          <w:sz w:val="24"/>
          <w:lang w:val="de-DE"/>
        </w:rPr>
        <w:t>Codex Theodosianus</w:t>
      </w:r>
      <w:r w:rsidR="00137DE9" w:rsidRPr="00137DE9">
        <w:rPr>
          <w:bCs/>
          <w:iCs/>
          <w:sz w:val="24"/>
          <w:lang w:val="de-DE"/>
        </w:rPr>
        <w:t>: Ein Blick hinter die Kulissen</w:t>
      </w:r>
      <w:r w:rsidRPr="00137DE9">
        <w:rPr>
          <w:bCs/>
          <w:iCs/>
          <w:sz w:val="24"/>
          <w:lang w:val="de-DE"/>
        </w:rPr>
        <w:t>.” Seminar für Alte Geschichte, Eberhard-Karls-Universität Tübingen. June, 27. 2024.</w:t>
      </w:r>
    </w:p>
    <w:p w14:paraId="4DD2267A" w14:textId="06E1148E" w:rsidR="007D316B" w:rsidRDefault="007D316B" w:rsidP="008723FF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>
        <w:rPr>
          <w:bCs/>
          <w:iCs/>
          <w:sz w:val="24"/>
        </w:rPr>
        <w:t xml:space="preserve">“Translating the </w:t>
      </w:r>
      <w:r>
        <w:rPr>
          <w:bCs/>
          <w:i/>
          <w:sz w:val="24"/>
        </w:rPr>
        <w:t xml:space="preserve">Theodosian Code: </w:t>
      </w:r>
      <w:r>
        <w:rPr>
          <w:bCs/>
          <w:iCs/>
          <w:sz w:val="24"/>
        </w:rPr>
        <w:t>A Peek Behind the Curtain.” Yale University. New Haven, CT. Oct. 2, 2023.</w:t>
      </w:r>
    </w:p>
    <w:p w14:paraId="5DC75415" w14:textId="5BB51ACE" w:rsidR="00981583" w:rsidRPr="00412A0D" w:rsidRDefault="00981583" w:rsidP="008723FF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 w:rsidRPr="00412A0D">
        <w:rPr>
          <w:bCs/>
          <w:iCs/>
          <w:sz w:val="24"/>
        </w:rPr>
        <w:t>“The Emperor’s New Prose: The Style of Tetrarchic Legislation</w:t>
      </w:r>
      <w:r w:rsidR="006C3068" w:rsidRPr="00412A0D">
        <w:rPr>
          <w:bCs/>
          <w:iCs/>
          <w:sz w:val="24"/>
        </w:rPr>
        <w:t>.</w:t>
      </w:r>
      <w:r w:rsidRPr="00412A0D">
        <w:rPr>
          <w:bCs/>
          <w:iCs/>
          <w:sz w:val="24"/>
        </w:rPr>
        <w:t>” University of Cal</w:t>
      </w:r>
      <w:r w:rsidR="00D45569" w:rsidRPr="00412A0D">
        <w:rPr>
          <w:bCs/>
          <w:iCs/>
          <w:sz w:val="24"/>
        </w:rPr>
        <w:t>ifornia, Berkeley</w:t>
      </w:r>
      <w:r w:rsidR="006C3068" w:rsidRPr="00412A0D">
        <w:rPr>
          <w:bCs/>
          <w:iCs/>
          <w:sz w:val="24"/>
        </w:rPr>
        <w:t>.</w:t>
      </w:r>
      <w:r w:rsidR="00D45569" w:rsidRPr="00412A0D">
        <w:rPr>
          <w:bCs/>
          <w:iCs/>
          <w:sz w:val="24"/>
        </w:rPr>
        <w:t xml:space="preserve"> Oct. 7, 2014</w:t>
      </w:r>
      <w:r w:rsidR="006C3068" w:rsidRPr="00412A0D">
        <w:rPr>
          <w:bCs/>
          <w:iCs/>
          <w:sz w:val="24"/>
        </w:rPr>
        <w:t>.</w:t>
      </w:r>
    </w:p>
    <w:p w14:paraId="42F1851E" w14:textId="5407DD7C" w:rsidR="00981583" w:rsidRPr="00412A0D" w:rsidRDefault="00981583" w:rsidP="008723FF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 w:rsidRPr="00412A0D">
        <w:rPr>
          <w:bCs/>
          <w:iCs/>
          <w:sz w:val="24"/>
        </w:rPr>
        <w:lastRenderedPageBreak/>
        <w:t>“The Style of Imperial Constitutions: Between Rhetoric and Law</w:t>
      </w:r>
      <w:r w:rsidR="006C3068" w:rsidRPr="00412A0D">
        <w:rPr>
          <w:bCs/>
          <w:iCs/>
          <w:sz w:val="24"/>
        </w:rPr>
        <w:t>.</w:t>
      </w:r>
      <w:r w:rsidRPr="00412A0D">
        <w:rPr>
          <w:bCs/>
          <w:iCs/>
          <w:sz w:val="24"/>
        </w:rPr>
        <w:t xml:space="preserve">” </w:t>
      </w:r>
      <w:r w:rsidR="00204244" w:rsidRPr="00412A0D">
        <w:rPr>
          <w:bCs/>
          <w:iCs/>
          <w:sz w:val="24"/>
        </w:rPr>
        <w:t xml:space="preserve">For the colloquium </w:t>
      </w:r>
      <w:r w:rsidR="00204244" w:rsidRPr="00137DE9">
        <w:rPr>
          <w:bCs/>
          <w:iCs/>
          <w:sz w:val="24"/>
          <w:lang w:val="it-IT"/>
        </w:rPr>
        <w:t>Diocleziano: La frontiera giuridica dell’Impero, Collegio dei Diritti Antichi</w:t>
      </w:r>
      <w:r w:rsidR="00204244" w:rsidRPr="00412A0D">
        <w:rPr>
          <w:bCs/>
          <w:iCs/>
          <w:sz w:val="24"/>
        </w:rPr>
        <w:t xml:space="preserve"> (CEDANT). Pavia, Italy. Jan. 23, 2014.</w:t>
      </w:r>
    </w:p>
    <w:p w14:paraId="468CA16C" w14:textId="563E99D5" w:rsidR="00981583" w:rsidRPr="00412A0D" w:rsidRDefault="00981583" w:rsidP="008723FF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 w:rsidRPr="00412A0D">
        <w:rPr>
          <w:bCs/>
          <w:iCs/>
          <w:sz w:val="24"/>
        </w:rPr>
        <w:t>“Thinking about the ‘Edict of Milan’ as Law</w:t>
      </w:r>
      <w:r w:rsidR="006C3068" w:rsidRPr="00412A0D">
        <w:rPr>
          <w:bCs/>
          <w:iCs/>
          <w:sz w:val="24"/>
        </w:rPr>
        <w:t>.</w:t>
      </w:r>
      <w:r w:rsidRPr="00412A0D">
        <w:rPr>
          <w:bCs/>
          <w:iCs/>
          <w:sz w:val="24"/>
        </w:rPr>
        <w:t>” Beijing Foreign St</w:t>
      </w:r>
      <w:r w:rsidR="00D45569" w:rsidRPr="00412A0D">
        <w:rPr>
          <w:bCs/>
          <w:iCs/>
          <w:sz w:val="24"/>
        </w:rPr>
        <w:t>udies University</w:t>
      </w:r>
      <w:r w:rsidR="00204244" w:rsidRPr="00412A0D">
        <w:rPr>
          <w:bCs/>
          <w:iCs/>
          <w:sz w:val="24"/>
        </w:rPr>
        <w:t>.</w:t>
      </w:r>
      <w:r w:rsidR="006C3068" w:rsidRPr="00412A0D">
        <w:rPr>
          <w:bCs/>
          <w:iCs/>
          <w:sz w:val="24"/>
        </w:rPr>
        <w:t xml:space="preserve"> Beijing, China.</w:t>
      </w:r>
      <w:r w:rsidR="00D45569" w:rsidRPr="00412A0D">
        <w:rPr>
          <w:bCs/>
          <w:iCs/>
          <w:sz w:val="24"/>
        </w:rPr>
        <w:t xml:space="preserve"> April 3, 2013</w:t>
      </w:r>
      <w:r w:rsidR="006C3068" w:rsidRPr="00412A0D">
        <w:rPr>
          <w:bCs/>
          <w:iCs/>
          <w:sz w:val="24"/>
        </w:rPr>
        <w:t>.</w:t>
      </w:r>
    </w:p>
    <w:p w14:paraId="1C1977B1" w14:textId="7D87F537" w:rsidR="00981583" w:rsidRPr="00412A0D" w:rsidRDefault="00981583" w:rsidP="008723FF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 w:rsidRPr="00412A0D">
        <w:rPr>
          <w:bCs/>
          <w:iCs/>
          <w:sz w:val="24"/>
        </w:rPr>
        <w:t>“The Priests, the Goddess, and the Murder of Tiberius Gracchus: Roman Ritual on Foreign Soil</w:t>
      </w:r>
      <w:r w:rsidR="006C3068" w:rsidRPr="00412A0D">
        <w:rPr>
          <w:bCs/>
          <w:iCs/>
          <w:sz w:val="24"/>
        </w:rPr>
        <w:t>.</w:t>
      </w:r>
      <w:r w:rsidRPr="00412A0D">
        <w:rPr>
          <w:bCs/>
          <w:iCs/>
          <w:sz w:val="24"/>
        </w:rPr>
        <w:t>” University of Hawaii at Manoa</w:t>
      </w:r>
      <w:r w:rsidR="006C3068" w:rsidRPr="00412A0D">
        <w:rPr>
          <w:bCs/>
          <w:iCs/>
          <w:sz w:val="24"/>
        </w:rPr>
        <w:t>.</w:t>
      </w:r>
      <w:r w:rsidRPr="00412A0D">
        <w:rPr>
          <w:bCs/>
          <w:iCs/>
          <w:sz w:val="24"/>
        </w:rPr>
        <w:t xml:space="preserve"> Honolu</w:t>
      </w:r>
      <w:r w:rsidR="00D45569" w:rsidRPr="00412A0D">
        <w:rPr>
          <w:bCs/>
          <w:iCs/>
          <w:sz w:val="24"/>
        </w:rPr>
        <w:t>lu</w:t>
      </w:r>
      <w:r w:rsidR="006C3068" w:rsidRPr="00412A0D">
        <w:rPr>
          <w:bCs/>
          <w:iCs/>
          <w:sz w:val="24"/>
        </w:rPr>
        <w:t>, HI.</w:t>
      </w:r>
      <w:r w:rsidR="00D45569" w:rsidRPr="00412A0D">
        <w:rPr>
          <w:bCs/>
          <w:iCs/>
          <w:sz w:val="24"/>
        </w:rPr>
        <w:t xml:space="preserve"> Feb. 5, 2013</w:t>
      </w:r>
      <w:r w:rsidR="006C3068" w:rsidRPr="00412A0D">
        <w:rPr>
          <w:bCs/>
          <w:iCs/>
          <w:sz w:val="24"/>
        </w:rPr>
        <w:t>.</w:t>
      </w:r>
    </w:p>
    <w:p w14:paraId="18117168" w14:textId="0107806F" w:rsidR="00981583" w:rsidRPr="00412A0D" w:rsidRDefault="00981583" w:rsidP="008723FF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 w:rsidRPr="00412A0D">
        <w:rPr>
          <w:bCs/>
          <w:iCs/>
          <w:sz w:val="24"/>
        </w:rPr>
        <w:t>“The Misrepresentation of Religion in Cicero’s Verrine Orations</w:t>
      </w:r>
      <w:r w:rsidR="006C3068" w:rsidRPr="00412A0D">
        <w:rPr>
          <w:bCs/>
          <w:iCs/>
          <w:sz w:val="24"/>
        </w:rPr>
        <w:t>.</w:t>
      </w:r>
      <w:r w:rsidRPr="00412A0D">
        <w:rPr>
          <w:bCs/>
          <w:iCs/>
          <w:sz w:val="24"/>
        </w:rPr>
        <w:t xml:space="preserve">” </w:t>
      </w:r>
      <w:r w:rsidR="00204244" w:rsidRPr="00412A0D">
        <w:rPr>
          <w:bCs/>
          <w:iCs/>
          <w:sz w:val="24"/>
        </w:rPr>
        <w:t>For the a</w:t>
      </w:r>
      <w:r w:rsidRPr="00412A0D">
        <w:rPr>
          <w:bCs/>
          <w:iCs/>
          <w:sz w:val="24"/>
        </w:rPr>
        <w:t xml:space="preserve">nnual </w:t>
      </w:r>
      <w:r w:rsidR="00204244" w:rsidRPr="00412A0D">
        <w:rPr>
          <w:bCs/>
          <w:iCs/>
          <w:sz w:val="24"/>
        </w:rPr>
        <w:t>m</w:t>
      </w:r>
      <w:r w:rsidRPr="00412A0D">
        <w:rPr>
          <w:bCs/>
          <w:iCs/>
          <w:sz w:val="24"/>
        </w:rPr>
        <w:t>eeting of the American Philological Association</w:t>
      </w:r>
      <w:r w:rsidR="006C3068" w:rsidRPr="00412A0D">
        <w:rPr>
          <w:bCs/>
          <w:iCs/>
          <w:sz w:val="24"/>
        </w:rPr>
        <w:t>.</w:t>
      </w:r>
      <w:r w:rsidRPr="00412A0D">
        <w:rPr>
          <w:bCs/>
          <w:iCs/>
          <w:sz w:val="24"/>
        </w:rPr>
        <w:t xml:space="preserve"> Se</w:t>
      </w:r>
      <w:r w:rsidR="00D45569" w:rsidRPr="00412A0D">
        <w:rPr>
          <w:bCs/>
          <w:iCs/>
          <w:sz w:val="24"/>
        </w:rPr>
        <w:t>attle, W</w:t>
      </w:r>
      <w:r w:rsidR="006C3068" w:rsidRPr="00412A0D">
        <w:rPr>
          <w:bCs/>
          <w:iCs/>
          <w:sz w:val="24"/>
        </w:rPr>
        <w:t>A.</w:t>
      </w:r>
      <w:r w:rsidR="00D45569" w:rsidRPr="00412A0D">
        <w:rPr>
          <w:bCs/>
          <w:iCs/>
          <w:sz w:val="24"/>
        </w:rPr>
        <w:t xml:space="preserve"> Jan. 4, 2013</w:t>
      </w:r>
      <w:r w:rsidR="006C3068" w:rsidRPr="00412A0D">
        <w:rPr>
          <w:bCs/>
          <w:iCs/>
          <w:sz w:val="24"/>
        </w:rPr>
        <w:t>.</w:t>
      </w:r>
    </w:p>
    <w:p w14:paraId="70386DC8" w14:textId="032EA335" w:rsidR="00981583" w:rsidRPr="00412A0D" w:rsidRDefault="00981583" w:rsidP="008723FF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 w:rsidRPr="00412A0D">
        <w:rPr>
          <w:bCs/>
          <w:iCs/>
          <w:sz w:val="24"/>
        </w:rPr>
        <w:t>“Cicero’s Verrine Orations: Looting and Drama at Lampsacus</w:t>
      </w:r>
      <w:r w:rsidR="008007B4" w:rsidRPr="00412A0D">
        <w:rPr>
          <w:bCs/>
          <w:iCs/>
          <w:sz w:val="24"/>
        </w:rPr>
        <w:t>,</w:t>
      </w:r>
      <w:r w:rsidRPr="00412A0D">
        <w:rPr>
          <w:bCs/>
          <w:iCs/>
          <w:sz w:val="24"/>
        </w:rPr>
        <w:t xml:space="preserve">” </w:t>
      </w:r>
      <w:r w:rsidR="00204244" w:rsidRPr="00412A0D">
        <w:rPr>
          <w:bCs/>
          <w:iCs/>
          <w:sz w:val="24"/>
        </w:rPr>
        <w:t xml:space="preserve">For the </w:t>
      </w:r>
      <w:r w:rsidRPr="00412A0D">
        <w:rPr>
          <w:bCs/>
          <w:iCs/>
          <w:sz w:val="24"/>
        </w:rPr>
        <w:t>Sixth-Form Classics Conference, Classical Association of the South West</w:t>
      </w:r>
      <w:r w:rsidR="00190AE6" w:rsidRPr="00412A0D">
        <w:rPr>
          <w:bCs/>
          <w:iCs/>
          <w:sz w:val="24"/>
        </w:rPr>
        <w:t>.</w:t>
      </w:r>
      <w:r w:rsidRPr="00412A0D">
        <w:rPr>
          <w:bCs/>
          <w:iCs/>
          <w:sz w:val="24"/>
        </w:rPr>
        <w:t xml:space="preserve"> Unive</w:t>
      </w:r>
      <w:r w:rsidR="00D45569" w:rsidRPr="00412A0D">
        <w:rPr>
          <w:bCs/>
          <w:iCs/>
          <w:sz w:val="24"/>
        </w:rPr>
        <w:t xml:space="preserve">rsity of Exeter, </w:t>
      </w:r>
      <w:r w:rsidR="00190AE6" w:rsidRPr="00412A0D">
        <w:rPr>
          <w:bCs/>
          <w:iCs/>
          <w:sz w:val="24"/>
        </w:rPr>
        <w:t xml:space="preserve">Exeter, UK. </w:t>
      </w:r>
      <w:r w:rsidR="00D45569" w:rsidRPr="00412A0D">
        <w:rPr>
          <w:bCs/>
          <w:iCs/>
          <w:sz w:val="24"/>
        </w:rPr>
        <w:t>March 17, 2012</w:t>
      </w:r>
      <w:r w:rsidR="00190AE6" w:rsidRPr="00412A0D">
        <w:rPr>
          <w:bCs/>
          <w:iCs/>
          <w:sz w:val="24"/>
        </w:rPr>
        <w:t>.</w:t>
      </w:r>
    </w:p>
    <w:p w14:paraId="3FD88B0A" w14:textId="0D852025" w:rsidR="00981583" w:rsidRPr="00412A0D" w:rsidRDefault="00981583" w:rsidP="008723FF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 w:rsidRPr="00412A0D">
        <w:rPr>
          <w:bCs/>
          <w:iCs/>
          <w:sz w:val="24"/>
        </w:rPr>
        <w:t>“The Invention of Prejudice against C. Verres</w:t>
      </w:r>
      <w:r w:rsidR="00190AE6" w:rsidRPr="00412A0D">
        <w:rPr>
          <w:bCs/>
          <w:iCs/>
          <w:sz w:val="24"/>
        </w:rPr>
        <w:t>.</w:t>
      </w:r>
      <w:r w:rsidRPr="00412A0D">
        <w:rPr>
          <w:bCs/>
          <w:iCs/>
          <w:sz w:val="24"/>
        </w:rPr>
        <w:t>” Newca</w:t>
      </w:r>
      <w:r w:rsidR="00D45569" w:rsidRPr="00412A0D">
        <w:rPr>
          <w:bCs/>
          <w:iCs/>
          <w:sz w:val="24"/>
        </w:rPr>
        <w:t>stle University</w:t>
      </w:r>
      <w:r w:rsidR="00204244" w:rsidRPr="00412A0D">
        <w:rPr>
          <w:bCs/>
          <w:iCs/>
          <w:sz w:val="24"/>
        </w:rPr>
        <w:t>.</w:t>
      </w:r>
      <w:r w:rsidR="00190AE6" w:rsidRPr="00412A0D">
        <w:rPr>
          <w:bCs/>
          <w:iCs/>
          <w:sz w:val="24"/>
        </w:rPr>
        <w:t xml:space="preserve"> Newcastle, UK.</w:t>
      </w:r>
      <w:r w:rsidR="00D45569" w:rsidRPr="00412A0D">
        <w:rPr>
          <w:bCs/>
          <w:iCs/>
          <w:sz w:val="24"/>
        </w:rPr>
        <w:t xml:space="preserve"> March 30, 2011</w:t>
      </w:r>
      <w:r w:rsidR="00190AE6" w:rsidRPr="00412A0D">
        <w:rPr>
          <w:bCs/>
          <w:iCs/>
          <w:sz w:val="24"/>
        </w:rPr>
        <w:t>.</w:t>
      </w:r>
    </w:p>
    <w:p w14:paraId="715AE25C" w14:textId="68035E31" w:rsidR="00981583" w:rsidRPr="00412A0D" w:rsidRDefault="00981583" w:rsidP="008723FF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 w:rsidRPr="00412A0D">
        <w:rPr>
          <w:bCs/>
          <w:iCs/>
          <w:sz w:val="24"/>
        </w:rPr>
        <w:t>“Religious Norms and Cultural Realities: Roman Religion From Praeneste to Delphi</w:t>
      </w:r>
      <w:r w:rsidR="00190AE6" w:rsidRPr="00412A0D">
        <w:rPr>
          <w:bCs/>
          <w:iCs/>
          <w:sz w:val="24"/>
        </w:rPr>
        <w:t>.</w:t>
      </w:r>
      <w:r w:rsidRPr="00412A0D">
        <w:rPr>
          <w:bCs/>
          <w:iCs/>
          <w:sz w:val="24"/>
        </w:rPr>
        <w:t xml:space="preserve">” </w:t>
      </w:r>
      <w:r w:rsidR="00204244" w:rsidRPr="00412A0D">
        <w:rPr>
          <w:bCs/>
          <w:iCs/>
          <w:sz w:val="24"/>
        </w:rPr>
        <w:t>For the c</w:t>
      </w:r>
      <w:r w:rsidRPr="00412A0D">
        <w:rPr>
          <w:bCs/>
          <w:iCs/>
          <w:sz w:val="24"/>
        </w:rPr>
        <w:t xml:space="preserve">onference </w:t>
      </w:r>
      <w:r w:rsidRPr="00137DE9">
        <w:rPr>
          <w:bCs/>
          <w:iCs/>
          <w:sz w:val="24"/>
          <w:lang w:val="de-DE"/>
        </w:rPr>
        <w:t>Normative Raumordnungen in den Kulturen des Altertums</w:t>
      </w:r>
      <w:r w:rsidRPr="00412A0D">
        <w:rPr>
          <w:bCs/>
          <w:iCs/>
          <w:sz w:val="24"/>
        </w:rPr>
        <w:t xml:space="preserve"> / The Normative Order of Space </w:t>
      </w:r>
      <w:r w:rsidR="00204244" w:rsidRPr="00412A0D">
        <w:rPr>
          <w:bCs/>
          <w:iCs/>
          <w:sz w:val="24"/>
        </w:rPr>
        <w:t>in European</w:t>
      </w:r>
      <w:r w:rsidRPr="00412A0D">
        <w:rPr>
          <w:bCs/>
          <w:iCs/>
          <w:sz w:val="24"/>
        </w:rPr>
        <w:t xml:space="preserve"> Antiquity and the Ancient Near East (March 9–11, 2011)</w:t>
      </w:r>
      <w:r w:rsidR="00190AE6" w:rsidRPr="00412A0D">
        <w:rPr>
          <w:bCs/>
          <w:iCs/>
          <w:sz w:val="24"/>
        </w:rPr>
        <w:t>.</w:t>
      </w:r>
      <w:r w:rsidRPr="00412A0D">
        <w:rPr>
          <w:bCs/>
          <w:iCs/>
          <w:sz w:val="24"/>
        </w:rPr>
        <w:t xml:space="preserve"> </w:t>
      </w:r>
      <w:r w:rsidRPr="00137DE9">
        <w:rPr>
          <w:bCs/>
          <w:iCs/>
          <w:sz w:val="24"/>
          <w:lang w:val="de-DE"/>
        </w:rPr>
        <w:t>Heidelberger Akademie der Wissenschaf</w:t>
      </w:r>
      <w:r w:rsidR="00064941" w:rsidRPr="00137DE9">
        <w:rPr>
          <w:bCs/>
          <w:iCs/>
          <w:sz w:val="24"/>
          <w:lang w:val="de-DE"/>
        </w:rPr>
        <w:t>ten</w:t>
      </w:r>
      <w:r w:rsidR="00190AE6" w:rsidRPr="00412A0D">
        <w:rPr>
          <w:bCs/>
          <w:iCs/>
          <w:sz w:val="24"/>
        </w:rPr>
        <w:t>.</w:t>
      </w:r>
      <w:r w:rsidR="00064941" w:rsidRPr="00412A0D">
        <w:rPr>
          <w:bCs/>
          <w:iCs/>
          <w:sz w:val="24"/>
        </w:rPr>
        <w:t xml:space="preserve"> Heidelberg, </w:t>
      </w:r>
      <w:r w:rsidR="00190AE6" w:rsidRPr="00412A0D">
        <w:rPr>
          <w:bCs/>
          <w:iCs/>
          <w:sz w:val="24"/>
        </w:rPr>
        <w:t xml:space="preserve">Germany. </w:t>
      </w:r>
      <w:r w:rsidR="00064941" w:rsidRPr="00412A0D">
        <w:rPr>
          <w:bCs/>
          <w:iCs/>
          <w:sz w:val="24"/>
        </w:rPr>
        <w:t>March 10, 2011</w:t>
      </w:r>
      <w:r w:rsidR="00190AE6" w:rsidRPr="00412A0D">
        <w:rPr>
          <w:bCs/>
          <w:iCs/>
          <w:sz w:val="24"/>
        </w:rPr>
        <w:t>.</w:t>
      </w:r>
    </w:p>
    <w:p w14:paraId="46AADA8F" w14:textId="7EBE6431" w:rsidR="00981583" w:rsidRPr="00412A0D" w:rsidRDefault="00981583" w:rsidP="008723FF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 w:rsidRPr="00412A0D">
        <w:rPr>
          <w:bCs/>
          <w:iCs/>
          <w:sz w:val="24"/>
        </w:rPr>
        <w:t>“Quo usque tandem: Cicero’s First Catilinarian</w:t>
      </w:r>
      <w:r w:rsidR="00190AE6" w:rsidRPr="00412A0D">
        <w:rPr>
          <w:bCs/>
          <w:iCs/>
          <w:sz w:val="24"/>
        </w:rPr>
        <w:t>.</w:t>
      </w:r>
      <w:r w:rsidRPr="00412A0D">
        <w:rPr>
          <w:bCs/>
          <w:iCs/>
          <w:sz w:val="24"/>
        </w:rPr>
        <w:t xml:space="preserve">” </w:t>
      </w:r>
      <w:r w:rsidR="00204244" w:rsidRPr="00412A0D">
        <w:rPr>
          <w:bCs/>
          <w:iCs/>
          <w:sz w:val="24"/>
        </w:rPr>
        <w:t xml:space="preserve">For the </w:t>
      </w:r>
      <w:r w:rsidRPr="00412A0D">
        <w:rPr>
          <w:bCs/>
          <w:iCs/>
          <w:sz w:val="24"/>
        </w:rPr>
        <w:t>Sixth-Form Classics Conference</w:t>
      </w:r>
      <w:r w:rsidR="00204244" w:rsidRPr="00412A0D">
        <w:rPr>
          <w:bCs/>
          <w:iCs/>
          <w:sz w:val="24"/>
        </w:rPr>
        <w:t>.</w:t>
      </w:r>
      <w:r w:rsidRPr="00412A0D">
        <w:rPr>
          <w:bCs/>
          <w:iCs/>
          <w:sz w:val="24"/>
        </w:rPr>
        <w:t xml:space="preserve"> Classical Association of the South West</w:t>
      </w:r>
      <w:r w:rsidR="00190AE6" w:rsidRPr="00412A0D">
        <w:rPr>
          <w:bCs/>
          <w:iCs/>
          <w:sz w:val="24"/>
        </w:rPr>
        <w:t>.</w:t>
      </w:r>
      <w:r w:rsidRPr="00412A0D">
        <w:rPr>
          <w:bCs/>
          <w:iCs/>
          <w:sz w:val="24"/>
        </w:rPr>
        <w:t xml:space="preserve"> Univ</w:t>
      </w:r>
      <w:r w:rsidR="00064941" w:rsidRPr="00412A0D">
        <w:rPr>
          <w:bCs/>
          <w:iCs/>
          <w:sz w:val="24"/>
        </w:rPr>
        <w:t>ersity of Exeter</w:t>
      </w:r>
      <w:r w:rsidR="00190AE6" w:rsidRPr="00412A0D">
        <w:rPr>
          <w:bCs/>
          <w:iCs/>
          <w:sz w:val="24"/>
        </w:rPr>
        <w:t xml:space="preserve">. Exeter, UK. </w:t>
      </w:r>
      <w:r w:rsidR="00064941" w:rsidRPr="00412A0D">
        <w:rPr>
          <w:bCs/>
          <w:iCs/>
          <w:sz w:val="24"/>
        </w:rPr>
        <w:t>March 5, 2011</w:t>
      </w:r>
      <w:r w:rsidR="00190AE6" w:rsidRPr="00412A0D">
        <w:rPr>
          <w:bCs/>
          <w:iCs/>
          <w:sz w:val="24"/>
        </w:rPr>
        <w:t>.</w:t>
      </w:r>
    </w:p>
    <w:p w14:paraId="238F7299" w14:textId="506AC61B" w:rsidR="00981583" w:rsidRPr="00412A0D" w:rsidRDefault="00981583" w:rsidP="008723FF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 w:rsidRPr="00412A0D">
        <w:rPr>
          <w:bCs/>
          <w:iCs/>
          <w:sz w:val="24"/>
        </w:rPr>
        <w:t xml:space="preserve">“Roman Sacral Law Outside of Rome: Roman Magistrates and </w:t>
      </w:r>
      <w:r w:rsidRPr="00412A0D">
        <w:rPr>
          <w:bCs/>
          <w:i/>
          <w:sz w:val="24"/>
        </w:rPr>
        <w:t>sacra peregrina</w:t>
      </w:r>
      <w:r w:rsidR="00190AE6" w:rsidRPr="00412A0D">
        <w:rPr>
          <w:bCs/>
          <w:iCs/>
          <w:sz w:val="24"/>
        </w:rPr>
        <w:t>.</w:t>
      </w:r>
      <w:r w:rsidRPr="00412A0D">
        <w:rPr>
          <w:bCs/>
          <w:iCs/>
          <w:sz w:val="24"/>
        </w:rPr>
        <w:t xml:space="preserve">” </w:t>
      </w:r>
      <w:r w:rsidR="00204244" w:rsidRPr="00412A0D">
        <w:rPr>
          <w:bCs/>
          <w:iCs/>
          <w:sz w:val="24"/>
        </w:rPr>
        <w:t>For the w</w:t>
      </w:r>
      <w:r w:rsidRPr="00412A0D">
        <w:rPr>
          <w:bCs/>
          <w:iCs/>
          <w:sz w:val="24"/>
        </w:rPr>
        <w:t>orkshop The Impact of Rome on Cult Places and Religion in Italy: New Approaches to Change and Continuity</w:t>
      </w:r>
      <w:r w:rsidR="00190AE6" w:rsidRPr="00412A0D">
        <w:rPr>
          <w:bCs/>
          <w:iCs/>
          <w:sz w:val="24"/>
        </w:rPr>
        <w:t>.</w:t>
      </w:r>
      <w:r w:rsidRPr="00412A0D">
        <w:rPr>
          <w:bCs/>
          <w:iCs/>
          <w:sz w:val="24"/>
        </w:rPr>
        <w:t xml:space="preserve"> Royal Netherlands Institute at Rome</w:t>
      </w:r>
      <w:r w:rsidR="00190AE6" w:rsidRPr="00412A0D">
        <w:rPr>
          <w:bCs/>
          <w:iCs/>
          <w:sz w:val="24"/>
        </w:rPr>
        <w:t>. Rome, Italy.</w:t>
      </w:r>
      <w:r w:rsidRPr="00412A0D">
        <w:rPr>
          <w:bCs/>
          <w:iCs/>
          <w:sz w:val="24"/>
        </w:rPr>
        <w:t xml:space="preserve"> May 21, 2010</w:t>
      </w:r>
      <w:r w:rsidR="00190AE6" w:rsidRPr="00412A0D">
        <w:rPr>
          <w:bCs/>
          <w:iCs/>
          <w:sz w:val="24"/>
        </w:rPr>
        <w:t>.</w:t>
      </w:r>
    </w:p>
    <w:p w14:paraId="512C1878" w14:textId="584891DD" w:rsidR="00981583" w:rsidRPr="00412A0D" w:rsidRDefault="00981583" w:rsidP="008723FF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 w:rsidRPr="00412A0D">
        <w:rPr>
          <w:bCs/>
          <w:iCs/>
          <w:sz w:val="24"/>
        </w:rPr>
        <w:t>“Roman Magistrates and Foreign Sanctuaries in the Roman Republic</w:t>
      </w:r>
      <w:r w:rsidR="00190AE6" w:rsidRPr="00412A0D">
        <w:rPr>
          <w:bCs/>
          <w:iCs/>
          <w:sz w:val="24"/>
        </w:rPr>
        <w:t>.</w:t>
      </w:r>
      <w:r w:rsidRPr="00412A0D">
        <w:rPr>
          <w:bCs/>
          <w:iCs/>
          <w:sz w:val="24"/>
        </w:rPr>
        <w:t>” Department of Classics and Ancient History, University of Exeter</w:t>
      </w:r>
      <w:r w:rsidR="00190AE6" w:rsidRPr="00412A0D">
        <w:rPr>
          <w:bCs/>
          <w:iCs/>
          <w:sz w:val="24"/>
        </w:rPr>
        <w:t>. Exeter, UK.</w:t>
      </w:r>
      <w:r w:rsidRPr="00412A0D">
        <w:rPr>
          <w:bCs/>
          <w:iCs/>
          <w:sz w:val="24"/>
        </w:rPr>
        <w:t xml:space="preserve"> May 6, 2010</w:t>
      </w:r>
      <w:r w:rsidR="00190AE6" w:rsidRPr="00412A0D">
        <w:rPr>
          <w:bCs/>
          <w:iCs/>
          <w:sz w:val="24"/>
        </w:rPr>
        <w:t>.</w:t>
      </w:r>
    </w:p>
    <w:p w14:paraId="23B398F9" w14:textId="1969ACEA" w:rsidR="00981583" w:rsidRPr="00412A0D" w:rsidRDefault="00981583" w:rsidP="008723FF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 w:rsidRPr="00412A0D">
        <w:rPr>
          <w:bCs/>
          <w:iCs/>
          <w:sz w:val="24"/>
        </w:rPr>
        <w:t>“</w:t>
      </w:r>
      <w:r w:rsidRPr="00137DE9">
        <w:rPr>
          <w:bCs/>
          <w:iCs/>
          <w:sz w:val="24"/>
          <w:lang w:val="de-DE"/>
        </w:rPr>
        <w:t>Akklamationen und die Kontrolle der Verwaltung unter Konstantin</w:t>
      </w:r>
      <w:r w:rsidR="00190AE6" w:rsidRPr="00412A0D">
        <w:rPr>
          <w:bCs/>
          <w:iCs/>
          <w:sz w:val="24"/>
        </w:rPr>
        <w:t>.</w:t>
      </w:r>
      <w:r w:rsidR="008007B4" w:rsidRPr="00412A0D">
        <w:rPr>
          <w:bCs/>
          <w:iCs/>
          <w:sz w:val="24"/>
        </w:rPr>
        <w:t>”</w:t>
      </w:r>
      <w:r w:rsidR="00204244" w:rsidRPr="00412A0D">
        <w:rPr>
          <w:bCs/>
          <w:iCs/>
          <w:sz w:val="24"/>
        </w:rPr>
        <w:t xml:space="preserve"> For the c</w:t>
      </w:r>
      <w:r w:rsidRPr="00412A0D">
        <w:rPr>
          <w:bCs/>
          <w:iCs/>
          <w:sz w:val="24"/>
        </w:rPr>
        <w:t>onference Contested Monarchy: Integrating the Roman Empire in the 4th Century AD</w:t>
      </w:r>
      <w:r w:rsidR="00190AE6" w:rsidRPr="00412A0D">
        <w:rPr>
          <w:bCs/>
          <w:iCs/>
          <w:sz w:val="24"/>
        </w:rPr>
        <w:t>.</w:t>
      </w:r>
      <w:r w:rsidRPr="00412A0D">
        <w:rPr>
          <w:bCs/>
          <w:iCs/>
          <w:sz w:val="24"/>
        </w:rPr>
        <w:t xml:space="preserve"> Universität Konstanz</w:t>
      </w:r>
      <w:r w:rsidR="00190AE6" w:rsidRPr="00412A0D">
        <w:rPr>
          <w:bCs/>
          <w:iCs/>
          <w:sz w:val="24"/>
        </w:rPr>
        <w:t>. Konstanz, Germany.</w:t>
      </w:r>
      <w:r w:rsidRPr="00412A0D">
        <w:rPr>
          <w:bCs/>
          <w:iCs/>
          <w:sz w:val="24"/>
        </w:rPr>
        <w:t xml:space="preserve"> July 9, 2009</w:t>
      </w:r>
      <w:r w:rsidR="00190AE6" w:rsidRPr="00412A0D">
        <w:rPr>
          <w:bCs/>
          <w:iCs/>
          <w:sz w:val="24"/>
        </w:rPr>
        <w:t>.</w:t>
      </w:r>
    </w:p>
    <w:p w14:paraId="3C005915" w14:textId="4426FBC8" w:rsidR="00981583" w:rsidRPr="00412A0D" w:rsidRDefault="00981583" w:rsidP="008723FF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 w:rsidRPr="00412A0D">
        <w:rPr>
          <w:bCs/>
          <w:iCs/>
          <w:sz w:val="24"/>
        </w:rPr>
        <w:t>“The Inflation of Rank and Privilege in the Later Roman Empire, Its Causes and Consequences</w:t>
      </w:r>
      <w:r w:rsidR="00190AE6" w:rsidRPr="00412A0D">
        <w:rPr>
          <w:bCs/>
          <w:iCs/>
          <w:sz w:val="24"/>
        </w:rPr>
        <w:t>.</w:t>
      </w:r>
      <w:r w:rsidRPr="00412A0D">
        <w:rPr>
          <w:bCs/>
          <w:iCs/>
          <w:sz w:val="24"/>
        </w:rPr>
        <w:t xml:space="preserve">” </w:t>
      </w:r>
      <w:r w:rsidR="00204244" w:rsidRPr="00412A0D">
        <w:rPr>
          <w:bCs/>
          <w:iCs/>
          <w:sz w:val="24"/>
        </w:rPr>
        <w:t>For the c</w:t>
      </w:r>
      <w:r w:rsidRPr="00412A0D">
        <w:rPr>
          <w:bCs/>
          <w:iCs/>
          <w:sz w:val="24"/>
        </w:rPr>
        <w:t>onference Centralization and Particularism in Late Antiquity</w:t>
      </w:r>
      <w:r w:rsidR="00190AE6" w:rsidRPr="00412A0D">
        <w:rPr>
          <w:bCs/>
          <w:iCs/>
          <w:sz w:val="24"/>
        </w:rPr>
        <w:t>.</w:t>
      </w:r>
      <w:r w:rsidRPr="00412A0D">
        <w:rPr>
          <w:bCs/>
          <w:iCs/>
          <w:sz w:val="24"/>
        </w:rPr>
        <w:t xml:space="preserve"> Meeting of the International Network for the Study of Late Antiquity</w:t>
      </w:r>
      <w:r w:rsidR="00190AE6" w:rsidRPr="00412A0D">
        <w:rPr>
          <w:bCs/>
          <w:iCs/>
          <w:sz w:val="24"/>
        </w:rPr>
        <w:t>.</w:t>
      </w:r>
      <w:r w:rsidRPr="00412A0D">
        <w:rPr>
          <w:bCs/>
          <w:iCs/>
          <w:sz w:val="24"/>
        </w:rPr>
        <w:t xml:space="preserve"> University of Tennessee, Knoxville</w:t>
      </w:r>
      <w:r w:rsidR="00190AE6" w:rsidRPr="00412A0D">
        <w:rPr>
          <w:bCs/>
          <w:iCs/>
          <w:sz w:val="24"/>
        </w:rPr>
        <w:t>. Knoxville, TN.</w:t>
      </w:r>
      <w:r w:rsidRPr="00412A0D">
        <w:rPr>
          <w:bCs/>
          <w:iCs/>
          <w:sz w:val="24"/>
        </w:rPr>
        <w:t xml:space="preserve"> May 22, 2009</w:t>
      </w:r>
      <w:r w:rsidR="00190AE6" w:rsidRPr="00412A0D">
        <w:rPr>
          <w:bCs/>
          <w:iCs/>
          <w:sz w:val="24"/>
        </w:rPr>
        <w:t>.</w:t>
      </w:r>
    </w:p>
    <w:p w14:paraId="74663F2F" w14:textId="234944E5" w:rsidR="00981583" w:rsidRPr="00412A0D" w:rsidRDefault="00981583" w:rsidP="008723FF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  <w:lang w:val="de-DE"/>
        </w:rPr>
      </w:pPr>
      <w:r w:rsidRPr="00412A0D">
        <w:rPr>
          <w:bCs/>
          <w:iCs/>
          <w:sz w:val="24"/>
        </w:rPr>
        <w:t>“Formal Elements of the Edicts of Constantine the Great</w:t>
      </w:r>
      <w:r w:rsidR="00190AE6" w:rsidRPr="00412A0D">
        <w:rPr>
          <w:bCs/>
          <w:iCs/>
          <w:sz w:val="24"/>
        </w:rPr>
        <w:t>.</w:t>
      </w:r>
      <w:r w:rsidRPr="00412A0D">
        <w:rPr>
          <w:bCs/>
          <w:iCs/>
          <w:sz w:val="24"/>
        </w:rPr>
        <w:t xml:space="preserve">” </w:t>
      </w:r>
      <w:r w:rsidR="00204244" w:rsidRPr="00412A0D">
        <w:rPr>
          <w:bCs/>
          <w:iCs/>
          <w:sz w:val="24"/>
        </w:rPr>
        <w:t>For the a</w:t>
      </w:r>
      <w:r w:rsidRPr="00412A0D">
        <w:rPr>
          <w:bCs/>
          <w:iCs/>
          <w:sz w:val="24"/>
        </w:rPr>
        <w:t>nnual meeting of the Société Internationale Fernand de Visscher pour l’Histoire des Droits de l’Antiquité</w:t>
      </w:r>
      <w:r w:rsidR="00190AE6" w:rsidRPr="00412A0D">
        <w:rPr>
          <w:bCs/>
          <w:iCs/>
          <w:sz w:val="24"/>
        </w:rPr>
        <w:t>.</w:t>
      </w:r>
      <w:r w:rsidRPr="00412A0D">
        <w:rPr>
          <w:bCs/>
          <w:iCs/>
          <w:sz w:val="24"/>
        </w:rPr>
        <w:t xml:space="preserve"> </w:t>
      </w:r>
      <w:r w:rsidRPr="00412A0D">
        <w:rPr>
          <w:bCs/>
          <w:iCs/>
          <w:sz w:val="24"/>
          <w:lang w:val="de-DE"/>
        </w:rPr>
        <w:t>Università di Catania</w:t>
      </w:r>
      <w:r w:rsidR="00190AE6" w:rsidRPr="00412A0D">
        <w:rPr>
          <w:bCs/>
          <w:iCs/>
          <w:sz w:val="24"/>
          <w:lang w:val="de-DE"/>
        </w:rPr>
        <w:t>. Catania, Italy.</w:t>
      </w:r>
      <w:r w:rsidRPr="00412A0D">
        <w:rPr>
          <w:bCs/>
          <w:iCs/>
          <w:sz w:val="24"/>
          <w:lang w:val="de-DE"/>
        </w:rPr>
        <w:t xml:space="preserve"> Sept. 25–29, 2007</w:t>
      </w:r>
      <w:r w:rsidR="00190AE6" w:rsidRPr="00412A0D">
        <w:rPr>
          <w:bCs/>
          <w:iCs/>
          <w:sz w:val="24"/>
          <w:lang w:val="de-DE"/>
        </w:rPr>
        <w:t>.</w:t>
      </w:r>
    </w:p>
    <w:p w14:paraId="1192F5FF" w14:textId="77539395" w:rsidR="00981583" w:rsidRPr="00412A0D" w:rsidRDefault="00981583" w:rsidP="008723FF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 w:rsidRPr="00412A0D">
        <w:rPr>
          <w:bCs/>
          <w:iCs/>
          <w:sz w:val="24"/>
          <w:lang w:val="de-DE"/>
        </w:rPr>
        <w:lastRenderedPageBreak/>
        <w:t>“Spätantike Bürokratie bei der Arbeit: Die Inschrift von Didyma</w:t>
      </w:r>
      <w:r w:rsidR="00190AE6" w:rsidRPr="00412A0D">
        <w:rPr>
          <w:bCs/>
          <w:iCs/>
          <w:sz w:val="24"/>
          <w:lang w:val="de-DE"/>
        </w:rPr>
        <w:t>.</w:t>
      </w:r>
      <w:r w:rsidRPr="00412A0D">
        <w:rPr>
          <w:bCs/>
          <w:iCs/>
          <w:sz w:val="24"/>
          <w:lang w:val="de-DE"/>
        </w:rPr>
        <w:t xml:space="preserve">” </w:t>
      </w:r>
      <w:r w:rsidR="00204244" w:rsidRPr="00412A0D">
        <w:rPr>
          <w:bCs/>
          <w:iCs/>
          <w:sz w:val="24"/>
          <w:lang w:val="de-DE"/>
        </w:rPr>
        <w:t xml:space="preserve">For the </w:t>
      </w:r>
      <w:r w:rsidRPr="00412A0D">
        <w:rPr>
          <w:bCs/>
          <w:iCs/>
          <w:sz w:val="24"/>
          <w:lang w:val="de-DE"/>
        </w:rPr>
        <w:t>Antikrechtliches Seminar, Ludwig-Maximilians-Universität München</w:t>
      </w:r>
      <w:r w:rsidR="00190AE6" w:rsidRPr="00412A0D">
        <w:rPr>
          <w:bCs/>
          <w:iCs/>
          <w:sz w:val="24"/>
          <w:lang w:val="de-DE"/>
        </w:rPr>
        <w:t>.</w:t>
      </w:r>
      <w:r w:rsidRPr="00412A0D">
        <w:rPr>
          <w:bCs/>
          <w:iCs/>
          <w:sz w:val="24"/>
          <w:lang w:val="de-DE"/>
        </w:rPr>
        <w:t xml:space="preserve"> Munich</w:t>
      </w:r>
      <w:r w:rsidR="00190AE6" w:rsidRPr="00412A0D">
        <w:rPr>
          <w:bCs/>
          <w:iCs/>
          <w:sz w:val="24"/>
          <w:lang w:val="de-DE"/>
        </w:rPr>
        <w:t>, Germany.</w:t>
      </w:r>
      <w:r w:rsidRPr="00412A0D">
        <w:rPr>
          <w:bCs/>
          <w:iCs/>
          <w:sz w:val="24"/>
          <w:lang w:val="de-DE"/>
        </w:rPr>
        <w:t xml:space="preserve"> </w:t>
      </w:r>
      <w:r w:rsidRPr="00412A0D">
        <w:rPr>
          <w:bCs/>
          <w:iCs/>
          <w:sz w:val="24"/>
        </w:rPr>
        <w:t>Jan. 31, 2006</w:t>
      </w:r>
      <w:r w:rsidR="00190AE6" w:rsidRPr="00412A0D">
        <w:rPr>
          <w:bCs/>
          <w:iCs/>
          <w:sz w:val="24"/>
        </w:rPr>
        <w:t>.</w:t>
      </w:r>
    </w:p>
    <w:p w14:paraId="4309E045" w14:textId="6E7C80A6" w:rsidR="00412A0D" w:rsidRPr="00412A0D" w:rsidRDefault="00981583" w:rsidP="00412A0D">
      <w:pPr>
        <w:pStyle w:val="BodyTextIndent2"/>
        <w:tabs>
          <w:tab w:val="left" w:pos="540"/>
        </w:tabs>
        <w:spacing w:after="120" w:line="360" w:lineRule="auto"/>
        <w:ind w:left="540" w:hanging="270"/>
        <w:contextualSpacing/>
        <w:rPr>
          <w:bCs/>
          <w:iCs/>
          <w:sz w:val="24"/>
        </w:rPr>
      </w:pPr>
      <w:r w:rsidRPr="00412A0D">
        <w:rPr>
          <w:bCs/>
          <w:iCs/>
          <w:sz w:val="24"/>
        </w:rPr>
        <w:t>“The Composition of Gratian’s Cases,” and roundtable discussion “Gratian, the Decretum and Recent Research</w:t>
      </w:r>
      <w:r w:rsidR="00190AE6" w:rsidRPr="00412A0D">
        <w:rPr>
          <w:bCs/>
          <w:iCs/>
          <w:sz w:val="24"/>
        </w:rPr>
        <w:t>.</w:t>
      </w:r>
      <w:r w:rsidRPr="00412A0D">
        <w:rPr>
          <w:bCs/>
          <w:iCs/>
          <w:sz w:val="24"/>
        </w:rPr>
        <w:t xml:space="preserve">” </w:t>
      </w:r>
      <w:r w:rsidR="00204244" w:rsidRPr="00412A0D">
        <w:rPr>
          <w:bCs/>
          <w:iCs/>
          <w:sz w:val="24"/>
        </w:rPr>
        <w:t xml:space="preserve">For the </w:t>
      </w:r>
      <w:r w:rsidRPr="00412A0D">
        <w:rPr>
          <w:bCs/>
          <w:iCs/>
          <w:sz w:val="24"/>
        </w:rPr>
        <w:t>International Congress of Medieval Canon Law</w:t>
      </w:r>
      <w:r w:rsidR="00190AE6" w:rsidRPr="00412A0D">
        <w:rPr>
          <w:bCs/>
          <w:iCs/>
          <w:sz w:val="24"/>
        </w:rPr>
        <w:t>.</w:t>
      </w:r>
      <w:r w:rsidRPr="00412A0D">
        <w:rPr>
          <w:bCs/>
          <w:iCs/>
          <w:sz w:val="24"/>
        </w:rPr>
        <w:t xml:space="preserve"> Catholic University of America</w:t>
      </w:r>
      <w:r w:rsidR="00190AE6" w:rsidRPr="00412A0D">
        <w:rPr>
          <w:bCs/>
          <w:iCs/>
          <w:sz w:val="24"/>
        </w:rPr>
        <w:t>.</w:t>
      </w:r>
      <w:r w:rsidRPr="00412A0D">
        <w:rPr>
          <w:bCs/>
          <w:iCs/>
          <w:sz w:val="24"/>
        </w:rPr>
        <w:t xml:space="preserve"> Washington D.C.</w:t>
      </w:r>
      <w:r w:rsidR="00190AE6" w:rsidRPr="00412A0D">
        <w:rPr>
          <w:bCs/>
          <w:iCs/>
          <w:sz w:val="24"/>
        </w:rPr>
        <w:t xml:space="preserve"> </w:t>
      </w:r>
      <w:r w:rsidRPr="00412A0D">
        <w:rPr>
          <w:bCs/>
          <w:iCs/>
          <w:sz w:val="24"/>
        </w:rPr>
        <w:t>August 2–7, 2004</w:t>
      </w:r>
      <w:r w:rsidR="00190AE6" w:rsidRPr="00412A0D">
        <w:rPr>
          <w:bCs/>
          <w:iCs/>
          <w:sz w:val="24"/>
        </w:rPr>
        <w:t>.</w:t>
      </w:r>
      <w:bookmarkEnd w:id="0"/>
    </w:p>
    <w:sectPr w:rsidR="00412A0D" w:rsidRPr="00412A0D" w:rsidSect="008A4142">
      <w:type w:val="continuous"/>
      <w:pgSz w:w="12240" w:h="15840" w:code="1"/>
      <w:pgMar w:top="1440" w:right="1109" w:bottom="12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3D1E"/>
    <w:multiLevelType w:val="hybridMultilevel"/>
    <w:tmpl w:val="F4424DCC"/>
    <w:lvl w:ilvl="0" w:tplc="7E3C5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41BCF"/>
    <w:multiLevelType w:val="hybridMultilevel"/>
    <w:tmpl w:val="19BEEB9E"/>
    <w:lvl w:ilvl="0" w:tplc="7E3C5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F06AA"/>
    <w:multiLevelType w:val="hybridMultilevel"/>
    <w:tmpl w:val="C534E412"/>
    <w:lvl w:ilvl="0" w:tplc="7E3C5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206CA"/>
    <w:multiLevelType w:val="hybridMultilevel"/>
    <w:tmpl w:val="55E838AC"/>
    <w:lvl w:ilvl="0" w:tplc="7E3C5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E0DA2"/>
    <w:multiLevelType w:val="hybridMultilevel"/>
    <w:tmpl w:val="51E41F00"/>
    <w:lvl w:ilvl="0" w:tplc="7E3C5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25DD0"/>
    <w:multiLevelType w:val="hybridMultilevel"/>
    <w:tmpl w:val="91BEC4A0"/>
    <w:lvl w:ilvl="0" w:tplc="7E3C5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C49E5"/>
    <w:multiLevelType w:val="hybridMultilevel"/>
    <w:tmpl w:val="447A788A"/>
    <w:lvl w:ilvl="0" w:tplc="7E3C5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92CBA"/>
    <w:multiLevelType w:val="hybridMultilevel"/>
    <w:tmpl w:val="2580EB4C"/>
    <w:lvl w:ilvl="0" w:tplc="7E3C5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F6E13"/>
    <w:multiLevelType w:val="hybridMultilevel"/>
    <w:tmpl w:val="3D624A42"/>
    <w:lvl w:ilvl="0" w:tplc="7E3C5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C25EB"/>
    <w:multiLevelType w:val="hybridMultilevel"/>
    <w:tmpl w:val="D35CED62"/>
    <w:lvl w:ilvl="0" w:tplc="7E3C5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C081D"/>
    <w:multiLevelType w:val="hybridMultilevel"/>
    <w:tmpl w:val="F27AE64A"/>
    <w:lvl w:ilvl="0" w:tplc="7E3C5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80CBC"/>
    <w:multiLevelType w:val="hybridMultilevel"/>
    <w:tmpl w:val="5B729E48"/>
    <w:lvl w:ilvl="0" w:tplc="7E3C5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40650"/>
    <w:multiLevelType w:val="hybridMultilevel"/>
    <w:tmpl w:val="99D4F036"/>
    <w:lvl w:ilvl="0" w:tplc="7E3C5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A42F3"/>
    <w:multiLevelType w:val="hybridMultilevel"/>
    <w:tmpl w:val="486606EE"/>
    <w:lvl w:ilvl="0" w:tplc="7E3C5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437C9"/>
    <w:multiLevelType w:val="hybridMultilevel"/>
    <w:tmpl w:val="B8C0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E63C8"/>
    <w:multiLevelType w:val="hybridMultilevel"/>
    <w:tmpl w:val="60A03F18"/>
    <w:lvl w:ilvl="0" w:tplc="7E3C5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D56BE"/>
    <w:multiLevelType w:val="hybridMultilevel"/>
    <w:tmpl w:val="126E7ECC"/>
    <w:lvl w:ilvl="0" w:tplc="7E3C5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F4920"/>
    <w:multiLevelType w:val="hybridMultilevel"/>
    <w:tmpl w:val="2F4E180A"/>
    <w:lvl w:ilvl="0" w:tplc="7E3C5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C4A10"/>
    <w:multiLevelType w:val="hybridMultilevel"/>
    <w:tmpl w:val="71F6769E"/>
    <w:lvl w:ilvl="0" w:tplc="7E3C50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3542AB"/>
    <w:multiLevelType w:val="hybridMultilevel"/>
    <w:tmpl w:val="9878D952"/>
    <w:lvl w:ilvl="0" w:tplc="7E3C5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427669">
    <w:abstractNumId w:val="18"/>
  </w:num>
  <w:num w:numId="2" w16cid:durableId="150609310">
    <w:abstractNumId w:val="14"/>
  </w:num>
  <w:num w:numId="3" w16cid:durableId="938637596">
    <w:abstractNumId w:val="3"/>
  </w:num>
  <w:num w:numId="4" w16cid:durableId="2118720285">
    <w:abstractNumId w:val="4"/>
  </w:num>
  <w:num w:numId="5" w16cid:durableId="205415334">
    <w:abstractNumId w:val="15"/>
  </w:num>
  <w:num w:numId="6" w16cid:durableId="1777019255">
    <w:abstractNumId w:val="11"/>
  </w:num>
  <w:num w:numId="7" w16cid:durableId="619267042">
    <w:abstractNumId w:val="8"/>
  </w:num>
  <w:num w:numId="8" w16cid:durableId="68039727">
    <w:abstractNumId w:val="9"/>
  </w:num>
  <w:num w:numId="9" w16cid:durableId="68430587">
    <w:abstractNumId w:val="1"/>
  </w:num>
  <w:num w:numId="10" w16cid:durableId="960767008">
    <w:abstractNumId w:val="19"/>
  </w:num>
  <w:num w:numId="11" w16cid:durableId="455367482">
    <w:abstractNumId w:val="0"/>
  </w:num>
  <w:num w:numId="12" w16cid:durableId="671447366">
    <w:abstractNumId w:val="12"/>
  </w:num>
  <w:num w:numId="13" w16cid:durableId="1297025308">
    <w:abstractNumId w:val="6"/>
  </w:num>
  <w:num w:numId="14" w16cid:durableId="265891966">
    <w:abstractNumId w:val="16"/>
  </w:num>
  <w:num w:numId="15" w16cid:durableId="1322195837">
    <w:abstractNumId w:val="2"/>
  </w:num>
  <w:num w:numId="16" w16cid:durableId="526258514">
    <w:abstractNumId w:val="7"/>
  </w:num>
  <w:num w:numId="17" w16cid:durableId="1077899807">
    <w:abstractNumId w:val="10"/>
  </w:num>
  <w:num w:numId="18" w16cid:durableId="769273556">
    <w:abstractNumId w:val="13"/>
  </w:num>
  <w:num w:numId="19" w16cid:durableId="739015499">
    <w:abstractNumId w:val="17"/>
  </w:num>
  <w:num w:numId="20" w16cid:durableId="1881627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1"/>
  <w:embedSystemFonts/>
  <w:hideSpellingErrors/>
  <w:hideGrammaticalErrors/>
  <w:activeWritingStyle w:appName="MSWord" w:lang="en-US" w:vendorID="64" w:dllVersion="0" w:nlCheck="1" w:checkStyle="1"/>
  <w:activeWritingStyle w:appName="MSWord" w:lang="fr-FR" w:vendorID="64" w:dllVersion="0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24A"/>
    <w:rsid w:val="000012F5"/>
    <w:rsid w:val="0000215A"/>
    <w:rsid w:val="0001149F"/>
    <w:rsid w:val="0001430C"/>
    <w:rsid w:val="00014F09"/>
    <w:rsid w:val="00015B8A"/>
    <w:rsid w:val="00017F87"/>
    <w:rsid w:val="00020320"/>
    <w:rsid w:val="00023DAD"/>
    <w:rsid w:val="00037FCF"/>
    <w:rsid w:val="000457AF"/>
    <w:rsid w:val="00052D02"/>
    <w:rsid w:val="00064941"/>
    <w:rsid w:val="000649AA"/>
    <w:rsid w:val="00083F26"/>
    <w:rsid w:val="0009315E"/>
    <w:rsid w:val="0009369D"/>
    <w:rsid w:val="000B17B7"/>
    <w:rsid w:val="000B2199"/>
    <w:rsid w:val="000C725D"/>
    <w:rsid w:val="000C7700"/>
    <w:rsid w:val="000D2875"/>
    <w:rsid w:val="000D3101"/>
    <w:rsid w:val="000D4DC4"/>
    <w:rsid w:val="00103424"/>
    <w:rsid w:val="00123430"/>
    <w:rsid w:val="001270D9"/>
    <w:rsid w:val="00131FA7"/>
    <w:rsid w:val="00135EB0"/>
    <w:rsid w:val="001360F1"/>
    <w:rsid w:val="00136B8F"/>
    <w:rsid w:val="00137DE9"/>
    <w:rsid w:val="00141C6F"/>
    <w:rsid w:val="00143EA8"/>
    <w:rsid w:val="00147DE4"/>
    <w:rsid w:val="00150EC2"/>
    <w:rsid w:val="0015542E"/>
    <w:rsid w:val="001567F4"/>
    <w:rsid w:val="00190AE6"/>
    <w:rsid w:val="001925A7"/>
    <w:rsid w:val="001B4E6A"/>
    <w:rsid w:val="001C2509"/>
    <w:rsid w:val="001D50A0"/>
    <w:rsid w:val="001F13C3"/>
    <w:rsid w:val="001F7498"/>
    <w:rsid w:val="00202820"/>
    <w:rsid w:val="002040AC"/>
    <w:rsid w:val="00204244"/>
    <w:rsid w:val="00211A8A"/>
    <w:rsid w:val="00211FE4"/>
    <w:rsid w:val="002374BF"/>
    <w:rsid w:val="00245AAE"/>
    <w:rsid w:val="00251245"/>
    <w:rsid w:val="00257608"/>
    <w:rsid w:val="002663C5"/>
    <w:rsid w:val="0027051D"/>
    <w:rsid w:val="00281F3E"/>
    <w:rsid w:val="00285060"/>
    <w:rsid w:val="00285F76"/>
    <w:rsid w:val="00287378"/>
    <w:rsid w:val="00292F1D"/>
    <w:rsid w:val="00293427"/>
    <w:rsid w:val="002A201B"/>
    <w:rsid w:val="002A69C4"/>
    <w:rsid w:val="002A7C02"/>
    <w:rsid w:val="002F2FBB"/>
    <w:rsid w:val="003027E7"/>
    <w:rsid w:val="003144B8"/>
    <w:rsid w:val="00315A28"/>
    <w:rsid w:val="003166A3"/>
    <w:rsid w:val="003361CF"/>
    <w:rsid w:val="00336754"/>
    <w:rsid w:val="003367A8"/>
    <w:rsid w:val="00364383"/>
    <w:rsid w:val="003646E8"/>
    <w:rsid w:val="0036735E"/>
    <w:rsid w:val="0037238A"/>
    <w:rsid w:val="00373C4A"/>
    <w:rsid w:val="00377A0A"/>
    <w:rsid w:val="00377DB3"/>
    <w:rsid w:val="00384BE1"/>
    <w:rsid w:val="003913A0"/>
    <w:rsid w:val="003A1E84"/>
    <w:rsid w:val="003A2BC6"/>
    <w:rsid w:val="003C080C"/>
    <w:rsid w:val="003C1B94"/>
    <w:rsid w:val="003D2E0A"/>
    <w:rsid w:val="003E059B"/>
    <w:rsid w:val="003F2CC2"/>
    <w:rsid w:val="0040107B"/>
    <w:rsid w:val="004048EB"/>
    <w:rsid w:val="00412A0D"/>
    <w:rsid w:val="00452ED5"/>
    <w:rsid w:val="00453EEB"/>
    <w:rsid w:val="004605CA"/>
    <w:rsid w:val="00474C18"/>
    <w:rsid w:val="00476090"/>
    <w:rsid w:val="00483873"/>
    <w:rsid w:val="00484ACC"/>
    <w:rsid w:val="00486CDF"/>
    <w:rsid w:val="00494285"/>
    <w:rsid w:val="004963C2"/>
    <w:rsid w:val="004A0207"/>
    <w:rsid w:val="004A09E7"/>
    <w:rsid w:val="004A0A7D"/>
    <w:rsid w:val="004A6735"/>
    <w:rsid w:val="004C6925"/>
    <w:rsid w:val="004D3210"/>
    <w:rsid w:val="004E28BC"/>
    <w:rsid w:val="004E59C9"/>
    <w:rsid w:val="005064DF"/>
    <w:rsid w:val="00513F80"/>
    <w:rsid w:val="0052354E"/>
    <w:rsid w:val="0052373C"/>
    <w:rsid w:val="00525028"/>
    <w:rsid w:val="00541377"/>
    <w:rsid w:val="005418CB"/>
    <w:rsid w:val="00544F59"/>
    <w:rsid w:val="00554354"/>
    <w:rsid w:val="005551B7"/>
    <w:rsid w:val="00572AAD"/>
    <w:rsid w:val="00575232"/>
    <w:rsid w:val="00586133"/>
    <w:rsid w:val="00590815"/>
    <w:rsid w:val="005973A1"/>
    <w:rsid w:val="005A0A3C"/>
    <w:rsid w:val="005B79AC"/>
    <w:rsid w:val="005C3D18"/>
    <w:rsid w:val="005D168C"/>
    <w:rsid w:val="005E3BCF"/>
    <w:rsid w:val="005E4FCD"/>
    <w:rsid w:val="005E61D1"/>
    <w:rsid w:val="005E6791"/>
    <w:rsid w:val="005F64A7"/>
    <w:rsid w:val="00614B12"/>
    <w:rsid w:val="006152D2"/>
    <w:rsid w:val="006231B7"/>
    <w:rsid w:val="00623B95"/>
    <w:rsid w:val="006276EA"/>
    <w:rsid w:val="006378A2"/>
    <w:rsid w:val="0065328D"/>
    <w:rsid w:val="00662F5B"/>
    <w:rsid w:val="00665961"/>
    <w:rsid w:val="00685D5E"/>
    <w:rsid w:val="00695D45"/>
    <w:rsid w:val="006A27F0"/>
    <w:rsid w:val="006C3068"/>
    <w:rsid w:val="006C72CA"/>
    <w:rsid w:val="006F69E6"/>
    <w:rsid w:val="00700839"/>
    <w:rsid w:val="007150CA"/>
    <w:rsid w:val="00723105"/>
    <w:rsid w:val="00731950"/>
    <w:rsid w:val="00731CC5"/>
    <w:rsid w:val="007369CE"/>
    <w:rsid w:val="00744617"/>
    <w:rsid w:val="00747800"/>
    <w:rsid w:val="00757802"/>
    <w:rsid w:val="0076301D"/>
    <w:rsid w:val="00767894"/>
    <w:rsid w:val="00771F85"/>
    <w:rsid w:val="00782868"/>
    <w:rsid w:val="0078372F"/>
    <w:rsid w:val="007850FE"/>
    <w:rsid w:val="00796DCA"/>
    <w:rsid w:val="007A2EA8"/>
    <w:rsid w:val="007C1E77"/>
    <w:rsid w:val="007C53B1"/>
    <w:rsid w:val="007C5A42"/>
    <w:rsid w:val="007D316B"/>
    <w:rsid w:val="007E0452"/>
    <w:rsid w:val="007E29F2"/>
    <w:rsid w:val="008007B4"/>
    <w:rsid w:val="00806AD3"/>
    <w:rsid w:val="00815BA2"/>
    <w:rsid w:val="00822ADF"/>
    <w:rsid w:val="00830D27"/>
    <w:rsid w:val="008320F7"/>
    <w:rsid w:val="00850A55"/>
    <w:rsid w:val="00852947"/>
    <w:rsid w:val="00863C09"/>
    <w:rsid w:val="008723FF"/>
    <w:rsid w:val="008729F8"/>
    <w:rsid w:val="00883BFB"/>
    <w:rsid w:val="00897794"/>
    <w:rsid w:val="008A26CE"/>
    <w:rsid w:val="008A4142"/>
    <w:rsid w:val="008A7BBE"/>
    <w:rsid w:val="008F7865"/>
    <w:rsid w:val="008F79B3"/>
    <w:rsid w:val="00906C9E"/>
    <w:rsid w:val="00916792"/>
    <w:rsid w:val="00920872"/>
    <w:rsid w:val="0092556D"/>
    <w:rsid w:val="00937420"/>
    <w:rsid w:val="00937636"/>
    <w:rsid w:val="0094568D"/>
    <w:rsid w:val="00947F70"/>
    <w:rsid w:val="00966E16"/>
    <w:rsid w:val="00970A4E"/>
    <w:rsid w:val="0097399F"/>
    <w:rsid w:val="00981583"/>
    <w:rsid w:val="00987D06"/>
    <w:rsid w:val="0099776F"/>
    <w:rsid w:val="009A20DC"/>
    <w:rsid w:val="009A2673"/>
    <w:rsid w:val="009A2E5C"/>
    <w:rsid w:val="009A7532"/>
    <w:rsid w:val="009C674A"/>
    <w:rsid w:val="009D370C"/>
    <w:rsid w:val="009D5899"/>
    <w:rsid w:val="009E01B1"/>
    <w:rsid w:val="009E0EE1"/>
    <w:rsid w:val="009E27CC"/>
    <w:rsid w:val="009F66B8"/>
    <w:rsid w:val="00A020AA"/>
    <w:rsid w:val="00A03B06"/>
    <w:rsid w:val="00A124BD"/>
    <w:rsid w:val="00A16B74"/>
    <w:rsid w:val="00A170C3"/>
    <w:rsid w:val="00A32F70"/>
    <w:rsid w:val="00A409E1"/>
    <w:rsid w:val="00A415C2"/>
    <w:rsid w:val="00A41DEC"/>
    <w:rsid w:val="00A50758"/>
    <w:rsid w:val="00A63C34"/>
    <w:rsid w:val="00A66650"/>
    <w:rsid w:val="00A71CB0"/>
    <w:rsid w:val="00A92DE9"/>
    <w:rsid w:val="00AA6665"/>
    <w:rsid w:val="00AB69B9"/>
    <w:rsid w:val="00AC38AA"/>
    <w:rsid w:val="00AE5630"/>
    <w:rsid w:val="00AF010E"/>
    <w:rsid w:val="00AF57E6"/>
    <w:rsid w:val="00AF5869"/>
    <w:rsid w:val="00B0353F"/>
    <w:rsid w:val="00B22CE8"/>
    <w:rsid w:val="00B312E1"/>
    <w:rsid w:val="00B35431"/>
    <w:rsid w:val="00B43BDA"/>
    <w:rsid w:val="00B75E72"/>
    <w:rsid w:val="00B8083B"/>
    <w:rsid w:val="00B812DC"/>
    <w:rsid w:val="00B84544"/>
    <w:rsid w:val="00B85507"/>
    <w:rsid w:val="00B861EB"/>
    <w:rsid w:val="00B94A55"/>
    <w:rsid w:val="00BA56B3"/>
    <w:rsid w:val="00BB2AC0"/>
    <w:rsid w:val="00BB567C"/>
    <w:rsid w:val="00BC224A"/>
    <w:rsid w:val="00BC5051"/>
    <w:rsid w:val="00BD2AE7"/>
    <w:rsid w:val="00BD7BFD"/>
    <w:rsid w:val="00BF6ABE"/>
    <w:rsid w:val="00BF6CB7"/>
    <w:rsid w:val="00BF706C"/>
    <w:rsid w:val="00C27A63"/>
    <w:rsid w:val="00C31127"/>
    <w:rsid w:val="00C40622"/>
    <w:rsid w:val="00C40DD6"/>
    <w:rsid w:val="00C460A0"/>
    <w:rsid w:val="00C4668A"/>
    <w:rsid w:val="00C47AEF"/>
    <w:rsid w:val="00C511E1"/>
    <w:rsid w:val="00C546E3"/>
    <w:rsid w:val="00C7095F"/>
    <w:rsid w:val="00C77C27"/>
    <w:rsid w:val="00C9424F"/>
    <w:rsid w:val="00CB0DE1"/>
    <w:rsid w:val="00CB6DFE"/>
    <w:rsid w:val="00CC121F"/>
    <w:rsid w:val="00CE4370"/>
    <w:rsid w:val="00CF775F"/>
    <w:rsid w:val="00D047F0"/>
    <w:rsid w:val="00D05E23"/>
    <w:rsid w:val="00D06E0B"/>
    <w:rsid w:val="00D06F4B"/>
    <w:rsid w:val="00D15261"/>
    <w:rsid w:val="00D16AAD"/>
    <w:rsid w:val="00D25B8C"/>
    <w:rsid w:val="00D30B78"/>
    <w:rsid w:val="00D359C0"/>
    <w:rsid w:val="00D37483"/>
    <w:rsid w:val="00D45569"/>
    <w:rsid w:val="00D45770"/>
    <w:rsid w:val="00D459F1"/>
    <w:rsid w:val="00D46BE4"/>
    <w:rsid w:val="00D47BCC"/>
    <w:rsid w:val="00D57A5E"/>
    <w:rsid w:val="00D65A82"/>
    <w:rsid w:val="00D72854"/>
    <w:rsid w:val="00D760B5"/>
    <w:rsid w:val="00D92210"/>
    <w:rsid w:val="00D94C9E"/>
    <w:rsid w:val="00D95002"/>
    <w:rsid w:val="00D97FBF"/>
    <w:rsid w:val="00DA09CE"/>
    <w:rsid w:val="00DC08D2"/>
    <w:rsid w:val="00DC5B20"/>
    <w:rsid w:val="00DD7C3B"/>
    <w:rsid w:val="00DE1A1C"/>
    <w:rsid w:val="00E01133"/>
    <w:rsid w:val="00E03E6C"/>
    <w:rsid w:val="00E13850"/>
    <w:rsid w:val="00E13BA2"/>
    <w:rsid w:val="00E17CD3"/>
    <w:rsid w:val="00E20C3C"/>
    <w:rsid w:val="00E42230"/>
    <w:rsid w:val="00E462E8"/>
    <w:rsid w:val="00E50006"/>
    <w:rsid w:val="00E53F54"/>
    <w:rsid w:val="00E540D5"/>
    <w:rsid w:val="00E64561"/>
    <w:rsid w:val="00E64DCF"/>
    <w:rsid w:val="00E65837"/>
    <w:rsid w:val="00E66328"/>
    <w:rsid w:val="00E755CE"/>
    <w:rsid w:val="00E77C7D"/>
    <w:rsid w:val="00E8311A"/>
    <w:rsid w:val="00EA164E"/>
    <w:rsid w:val="00EB0434"/>
    <w:rsid w:val="00EB590E"/>
    <w:rsid w:val="00ED23C7"/>
    <w:rsid w:val="00ED571A"/>
    <w:rsid w:val="00ED70A0"/>
    <w:rsid w:val="00ED7EEC"/>
    <w:rsid w:val="00EE1F59"/>
    <w:rsid w:val="00EE49A0"/>
    <w:rsid w:val="00EE7C3D"/>
    <w:rsid w:val="00F0342F"/>
    <w:rsid w:val="00F21644"/>
    <w:rsid w:val="00F22AC5"/>
    <w:rsid w:val="00F25574"/>
    <w:rsid w:val="00F27F71"/>
    <w:rsid w:val="00F377B9"/>
    <w:rsid w:val="00F40950"/>
    <w:rsid w:val="00F431B8"/>
    <w:rsid w:val="00F44EDC"/>
    <w:rsid w:val="00F470EB"/>
    <w:rsid w:val="00F5393B"/>
    <w:rsid w:val="00F53C75"/>
    <w:rsid w:val="00F62747"/>
    <w:rsid w:val="00F876E6"/>
    <w:rsid w:val="00F9181F"/>
    <w:rsid w:val="00F9735B"/>
    <w:rsid w:val="00FB4EB1"/>
    <w:rsid w:val="00FC199B"/>
    <w:rsid w:val="00FC4EDC"/>
    <w:rsid w:val="00FE2BE2"/>
    <w:rsid w:val="00FE375A"/>
    <w:rsid w:val="00FE4206"/>
    <w:rsid w:val="00FE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4FBB63"/>
  <w15:docId w15:val="{E51612A0-3D17-42B9-951A-1C682230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1F85"/>
    <w:rPr>
      <w:sz w:val="24"/>
      <w:szCs w:val="24"/>
    </w:rPr>
  </w:style>
  <w:style w:type="paragraph" w:styleId="Heading1">
    <w:name w:val="heading 1"/>
    <w:basedOn w:val="Normal"/>
    <w:next w:val="Normal"/>
    <w:qFormat/>
    <w:rsid w:val="00412A0D"/>
    <w:pPr>
      <w:keepNext/>
      <w:spacing w:line="360" w:lineRule="auto"/>
      <w:outlineLvl w:val="0"/>
    </w:pPr>
    <w:rPr>
      <w:b/>
      <w:bCs/>
      <w:sz w:val="26"/>
      <w:szCs w:val="26"/>
    </w:rPr>
  </w:style>
  <w:style w:type="paragraph" w:styleId="Heading2">
    <w:name w:val="heading 2"/>
    <w:basedOn w:val="Heading1"/>
    <w:next w:val="Normal"/>
    <w:qFormat/>
    <w:rsid w:val="00412A0D"/>
    <w:pPr>
      <w:outlineLvl w:val="1"/>
    </w:pPr>
    <w:rPr>
      <w:i/>
      <w:iCs/>
      <w:sz w:val="22"/>
      <w:szCs w:val="22"/>
    </w:rPr>
  </w:style>
  <w:style w:type="paragraph" w:styleId="Heading3">
    <w:name w:val="heading 3"/>
    <w:basedOn w:val="Normal"/>
    <w:next w:val="Normal"/>
    <w:qFormat/>
    <w:rsid w:val="00771F85"/>
    <w:pPr>
      <w:keepNext/>
      <w:tabs>
        <w:tab w:val="left" w:pos="360"/>
      </w:tabs>
      <w:ind w:left="360" w:hanging="360"/>
      <w:outlineLvl w:val="2"/>
    </w:pPr>
    <w:rPr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71F85"/>
    <w:rPr>
      <w:color w:val="0000FF"/>
      <w:u w:val="single"/>
    </w:rPr>
  </w:style>
  <w:style w:type="character" w:styleId="FollowedHyperlink">
    <w:name w:val="FollowedHyperlink"/>
    <w:basedOn w:val="DefaultParagraphFont"/>
    <w:rsid w:val="00771F85"/>
    <w:rPr>
      <w:color w:val="800080"/>
      <w:u w:val="single"/>
    </w:rPr>
  </w:style>
  <w:style w:type="paragraph" w:styleId="FootnoteText">
    <w:name w:val="footnote text"/>
    <w:basedOn w:val="Normal"/>
    <w:semiHidden/>
    <w:rsid w:val="00771F85"/>
    <w:pPr>
      <w:spacing w:after="120"/>
    </w:pPr>
    <w:rPr>
      <w:iCs/>
      <w:sz w:val="20"/>
      <w:szCs w:val="20"/>
    </w:rPr>
  </w:style>
  <w:style w:type="character" w:styleId="FootnoteReference">
    <w:name w:val="footnote reference"/>
    <w:semiHidden/>
    <w:rsid w:val="00771F85"/>
    <w:rPr>
      <w:sz w:val="20"/>
      <w:szCs w:val="20"/>
      <w:vertAlign w:val="superscript"/>
    </w:rPr>
  </w:style>
  <w:style w:type="paragraph" w:styleId="BodyTextIndent">
    <w:name w:val="Body Text Indent"/>
    <w:basedOn w:val="Normal"/>
    <w:rsid w:val="00771F85"/>
    <w:pPr>
      <w:ind w:left="360" w:hanging="360"/>
    </w:pPr>
    <w:rPr>
      <w:sz w:val="22"/>
    </w:rPr>
  </w:style>
  <w:style w:type="paragraph" w:styleId="Header">
    <w:name w:val="header"/>
    <w:basedOn w:val="Normal"/>
    <w:rsid w:val="00771F85"/>
    <w:pPr>
      <w:tabs>
        <w:tab w:val="center" w:pos="4320"/>
        <w:tab w:val="right" w:pos="8640"/>
      </w:tabs>
    </w:pPr>
    <w:rPr>
      <w:rFonts w:ascii="Times" w:hAnsi="Times"/>
      <w:szCs w:val="20"/>
      <w:lang w:eastAsia="fr-FR"/>
    </w:rPr>
  </w:style>
  <w:style w:type="paragraph" w:styleId="BodyText">
    <w:name w:val="Body Text"/>
    <w:basedOn w:val="Normal"/>
    <w:rsid w:val="00771F85"/>
    <w:rPr>
      <w:sz w:val="22"/>
    </w:rPr>
  </w:style>
  <w:style w:type="paragraph" w:styleId="BodyTextIndent2">
    <w:name w:val="Body Text Indent 2"/>
    <w:basedOn w:val="Normal"/>
    <w:rsid w:val="00771F85"/>
    <w:pPr>
      <w:ind w:left="1080" w:hanging="1080"/>
    </w:pPr>
    <w:rPr>
      <w:sz w:val="22"/>
    </w:rPr>
  </w:style>
  <w:style w:type="paragraph" w:styleId="Title">
    <w:name w:val="Title"/>
    <w:basedOn w:val="Normal"/>
    <w:qFormat/>
    <w:rsid w:val="00771F85"/>
    <w:pPr>
      <w:jc w:val="center"/>
    </w:pPr>
    <w:rPr>
      <w:b/>
      <w:bCs/>
      <w:sz w:val="28"/>
    </w:rPr>
  </w:style>
  <w:style w:type="character" w:styleId="Emphasis">
    <w:name w:val="Emphasis"/>
    <w:basedOn w:val="DefaultParagraphFont"/>
    <w:qFormat/>
    <w:rsid w:val="00771F85"/>
    <w:rPr>
      <w:i/>
      <w:iCs/>
    </w:rPr>
  </w:style>
  <w:style w:type="paragraph" w:customStyle="1" w:styleId="Style1">
    <w:name w:val="Style1"/>
    <w:basedOn w:val="Heading1"/>
    <w:rsid w:val="00A124BD"/>
    <w:rPr>
      <w:sz w:val="22"/>
      <w:szCs w:val="22"/>
    </w:rPr>
  </w:style>
  <w:style w:type="paragraph" w:customStyle="1" w:styleId="CVHeadings">
    <w:name w:val="CV Headings"/>
    <w:basedOn w:val="Heading1"/>
    <w:rsid w:val="00A124BD"/>
    <w:pPr>
      <w:spacing w:before="120"/>
    </w:pPr>
    <w:rPr>
      <w:sz w:val="22"/>
    </w:rPr>
  </w:style>
  <w:style w:type="character" w:styleId="CommentReference">
    <w:name w:val="annotation reference"/>
    <w:basedOn w:val="DefaultParagraphFont"/>
    <w:rsid w:val="00B861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61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861EB"/>
  </w:style>
  <w:style w:type="paragraph" w:styleId="CommentSubject">
    <w:name w:val="annotation subject"/>
    <w:basedOn w:val="CommentText"/>
    <w:next w:val="CommentText"/>
    <w:link w:val="CommentSubjectChar"/>
    <w:rsid w:val="00B861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861EB"/>
    <w:rPr>
      <w:b/>
      <w:bCs/>
    </w:rPr>
  </w:style>
  <w:style w:type="paragraph" w:styleId="BalloonText">
    <w:name w:val="Balloon Text"/>
    <w:basedOn w:val="Normal"/>
    <w:link w:val="BalloonTextChar"/>
    <w:rsid w:val="00B86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61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0DD6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E6632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A2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vinity.yale.edu/faculty-and-research/yds-faculty/john-no-l-dillon" TargetMode="External"/><Relationship Id="rId13" Type="http://schemas.openxmlformats.org/officeDocument/2006/relationships/hyperlink" Target="http://michiganclassicalpress.com/" TargetMode="External"/><Relationship Id="rId18" Type="http://schemas.openxmlformats.org/officeDocument/2006/relationships/hyperlink" Target="https://bmcr.brynmawr.edu/2024/2024.11.02/" TargetMode="External"/><Relationship Id="rId26" Type="http://schemas.openxmlformats.org/officeDocument/2006/relationships/hyperlink" Target="https://bmcr.brynmawr.edu/2006/2006.10.02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ncienthistorybulletin.org/wp-content/uploads/2014/08/AHBReviews201122.DillonOnRichardson.pdf" TargetMode="External"/><Relationship Id="rId7" Type="http://schemas.openxmlformats.org/officeDocument/2006/relationships/hyperlink" Target="https://medieval.yale.edu/people/john-dillon" TargetMode="External"/><Relationship Id="rId12" Type="http://schemas.openxmlformats.org/officeDocument/2006/relationships/hyperlink" Target="https://www.press.umich.edu/9394529/birth_of_the_archive" TargetMode="External"/><Relationship Id="rId17" Type="http://schemas.openxmlformats.org/officeDocument/2006/relationships/hyperlink" Target="https://sites.google.com/a/yale.edu/decretumgratiani/" TargetMode="External"/><Relationship Id="rId25" Type="http://schemas.openxmlformats.org/officeDocument/2006/relationships/hyperlink" Target="https://bmcr.brynmawr.edu/2007/2007.07.5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ferenceworks.brillonline.com/browse/brill-s-new-pauly-supplements-ii-10" TargetMode="External"/><Relationship Id="rId20" Type="http://schemas.openxmlformats.org/officeDocument/2006/relationships/hyperlink" Target="https://hsozkult.geschichte.hu-berlin.de/rezensionen/2012-1-030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assics.yale.edu/people/john-noel-dillon" TargetMode="External"/><Relationship Id="rId11" Type="http://schemas.openxmlformats.org/officeDocument/2006/relationships/hyperlink" Target="https://brill.com/view/serial/EEMH" TargetMode="External"/><Relationship Id="rId24" Type="http://schemas.openxmlformats.org/officeDocument/2006/relationships/hyperlink" Target="https://bmcr.brynmawr.edu/2010/2010.04.22/" TargetMode="External"/><Relationship Id="rId5" Type="http://schemas.openxmlformats.org/officeDocument/2006/relationships/hyperlink" Target="mailto:john.dillon@yale.edu" TargetMode="External"/><Relationship Id="rId15" Type="http://schemas.openxmlformats.org/officeDocument/2006/relationships/hyperlink" Target="https://referenceworks.brillonline.com/browse/brill-s-new-pauly-supplements-ii-9" TargetMode="External"/><Relationship Id="rId23" Type="http://schemas.openxmlformats.org/officeDocument/2006/relationships/hyperlink" Target="https://bmcr.brynmawr.edu/2011/2011.07.36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ress.princeton.edu/books/hardcover/9780691180120/the-jesuits" TargetMode="External"/><Relationship Id="rId19" Type="http://schemas.openxmlformats.org/officeDocument/2006/relationships/hyperlink" Target="https://bmcr.brynmawr.edu/2012/2012.08.5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lebooks.yale.edu/9780300254433/theoderic-the-great" TargetMode="External"/><Relationship Id="rId14" Type="http://schemas.openxmlformats.org/officeDocument/2006/relationships/hyperlink" Target="https://www.press.jhu.edu/books/title/12939/maker-pedigrees" TargetMode="External"/><Relationship Id="rId22" Type="http://schemas.openxmlformats.org/officeDocument/2006/relationships/hyperlink" Target="https://bmcr.brynmawr.edu/2011/2011.08.29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2159</Words>
  <Characters>15806</Characters>
  <Application>Microsoft Office Word</Application>
  <DocSecurity>4</DocSecurity>
  <Lines>131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Honors</vt:lpstr>
    </vt:vector>
  </TitlesOfParts>
  <Company>Unknown Organization</Company>
  <LinksUpToDate>false</LinksUpToDate>
  <CharactersWithSpaces>17930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Honors</dc:title>
  <dc:creator>Unknown User</dc:creator>
  <cp:lastModifiedBy>Marie Hause</cp:lastModifiedBy>
  <cp:revision>2</cp:revision>
  <cp:lastPrinted>2017-02-03T15:35:00Z</cp:lastPrinted>
  <dcterms:created xsi:type="dcterms:W3CDTF">2025-06-25T00:45:00Z</dcterms:created>
  <dcterms:modified xsi:type="dcterms:W3CDTF">2025-06-25T00:45:00Z</dcterms:modified>
</cp:coreProperties>
</file>