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17EE" w14:textId="77777777" w:rsidR="005C3D18" w:rsidRPr="00F40950" w:rsidRDefault="005C3D18" w:rsidP="008723FF">
      <w:pPr>
        <w:pStyle w:val="Title"/>
        <w:spacing w:line="360" w:lineRule="auto"/>
        <w:rPr>
          <w:sz w:val="24"/>
        </w:rPr>
      </w:pPr>
      <w:bookmarkStart w:id="0" w:name="_GoBack"/>
      <w:bookmarkEnd w:id="0"/>
      <w:r w:rsidRPr="00F40950">
        <w:rPr>
          <w:sz w:val="24"/>
        </w:rPr>
        <w:t>J</w:t>
      </w:r>
      <w:r w:rsidR="0009369D" w:rsidRPr="00F40950">
        <w:rPr>
          <w:sz w:val="24"/>
        </w:rPr>
        <w:t>ohn Noël Dillon</w:t>
      </w:r>
    </w:p>
    <w:p w14:paraId="5B1D8522" w14:textId="46DAAF07" w:rsidR="00815BA2" w:rsidRPr="00BB2AC0" w:rsidRDefault="00211A8A" w:rsidP="00BB2AC0">
      <w:pPr>
        <w:pStyle w:val="Title"/>
        <w:spacing w:line="360" w:lineRule="auto"/>
        <w:rPr>
          <w:b w:val="0"/>
          <w:bCs w:val="0"/>
          <w:sz w:val="24"/>
        </w:rPr>
      </w:pPr>
      <w:r w:rsidRPr="00F40950">
        <w:rPr>
          <w:b w:val="0"/>
          <w:bCs w:val="0"/>
          <w:sz w:val="24"/>
        </w:rPr>
        <w:t>j</w:t>
      </w:r>
      <w:r w:rsidR="00FE375A" w:rsidRPr="00F40950">
        <w:rPr>
          <w:b w:val="0"/>
          <w:bCs w:val="0"/>
          <w:sz w:val="24"/>
        </w:rPr>
        <w:t>ohn</w:t>
      </w:r>
      <w:r w:rsidRPr="00F40950">
        <w:rPr>
          <w:b w:val="0"/>
          <w:bCs w:val="0"/>
          <w:sz w:val="24"/>
        </w:rPr>
        <w:t>.n</w:t>
      </w:r>
      <w:r w:rsidR="00FE375A" w:rsidRPr="00F40950">
        <w:rPr>
          <w:b w:val="0"/>
          <w:bCs w:val="0"/>
          <w:sz w:val="24"/>
        </w:rPr>
        <w:t>oel</w:t>
      </w:r>
      <w:r w:rsidRPr="00F40950">
        <w:rPr>
          <w:b w:val="0"/>
          <w:bCs w:val="0"/>
          <w:sz w:val="24"/>
        </w:rPr>
        <w:t>.dillon@</w:t>
      </w:r>
      <w:r w:rsidR="00FE375A" w:rsidRPr="00F40950">
        <w:rPr>
          <w:b w:val="0"/>
          <w:bCs w:val="0"/>
          <w:sz w:val="24"/>
        </w:rPr>
        <w:t>gmail.com</w:t>
      </w:r>
      <w:r w:rsidR="00E65837" w:rsidRPr="00F40950">
        <w:rPr>
          <w:b w:val="0"/>
          <w:bCs w:val="0"/>
          <w:sz w:val="24"/>
        </w:rPr>
        <w:t xml:space="preserve"> / john.dillon@yale.edu</w:t>
      </w:r>
    </w:p>
    <w:p w14:paraId="16894764" w14:textId="58D6EBA8" w:rsidR="00815BA2" w:rsidRPr="00F40950" w:rsidRDefault="00815BA2" w:rsidP="008723FF">
      <w:pPr>
        <w:pStyle w:val="Heading1"/>
        <w:spacing w:line="360" w:lineRule="auto"/>
        <w:rPr>
          <w:rFonts w:ascii="Times New Roman" w:hAnsi="Times New Roman" w:cs="Times New Roman"/>
        </w:rPr>
      </w:pPr>
      <w:r w:rsidRPr="00F40950">
        <w:rPr>
          <w:rFonts w:ascii="Times New Roman" w:hAnsi="Times New Roman" w:cs="Times New Roman"/>
        </w:rPr>
        <w:t xml:space="preserve">Research </w:t>
      </w:r>
      <w:r w:rsidR="00F40950">
        <w:rPr>
          <w:rFonts w:ascii="Times New Roman" w:hAnsi="Times New Roman" w:cs="Times New Roman"/>
        </w:rPr>
        <w:t>i</w:t>
      </w:r>
      <w:r w:rsidRPr="00F40950">
        <w:rPr>
          <w:rFonts w:ascii="Times New Roman" w:hAnsi="Times New Roman" w:cs="Times New Roman"/>
        </w:rPr>
        <w:t>nterests</w:t>
      </w:r>
    </w:p>
    <w:p w14:paraId="696E5EE9" w14:textId="7C03F0FF" w:rsidR="00614B12" w:rsidRDefault="008723FF" w:rsidP="008723FF">
      <w:pPr>
        <w:spacing w:after="120" w:line="360" w:lineRule="auto"/>
        <w:ind w:left="548" w:hanging="274"/>
        <w:contextualSpacing/>
      </w:pPr>
      <w:r>
        <w:t xml:space="preserve">Latin Literature, </w:t>
      </w:r>
      <w:r w:rsidR="00614B12">
        <w:t>Late Antiquity</w:t>
      </w:r>
      <w:r>
        <w:t xml:space="preserve">, </w:t>
      </w:r>
      <w:r w:rsidR="00F21644">
        <w:t>t</w:t>
      </w:r>
      <w:r>
        <w:t xml:space="preserve">he </w:t>
      </w:r>
      <w:r w:rsidR="00614B12">
        <w:t>Roman Republic</w:t>
      </w:r>
      <w:r>
        <w:t xml:space="preserve">, </w:t>
      </w:r>
      <w:r w:rsidR="00815BA2" w:rsidRPr="00F40950">
        <w:t xml:space="preserve">Roman </w:t>
      </w:r>
      <w:r>
        <w:t>L</w:t>
      </w:r>
      <w:r w:rsidR="00A170C3" w:rsidRPr="00F40950">
        <w:t>aw</w:t>
      </w:r>
    </w:p>
    <w:p w14:paraId="4A3BFD5D" w14:textId="6FB2B35B" w:rsidR="00614B12" w:rsidRDefault="00815BA2" w:rsidP="008723FF">
      <w:pPr>
        <w:spacing w:after="120" w:line="360" w:lineRule="auto"/>
        <w:ind w:left="548" w:hanging="274"/>
        <w:contextualSpacing/>
      </w:pPr>
      <w:r w:rsidRPr="00F40950">
        <w:t xml:space="preserve">Greek </w:t>
      </w:r>
      <w:r w:rsidR="008723FF">
        <w:t>Literature of the Roman Period</w:t>
      </w:r>
    </w:p>
    <w:p w14:paraId="7A73C820" w14:textId="6428CFA7" w:rsidR="00614B12" w:rsidRDefault="00614B12" w:rsidP="008723FF">
      <w:pPr>
        <w:spacing w:after="120" w:line="360" w:lineRule="auto"/>
        <w:ind w:left="548" w:hanging="274"/>
        <w:contextualSpacing/>
      </w:pPr>
      <w:r>
        <w:t>M</w:t>
      </w:r>
      <w:r w:rsidR="00815BA2" w:rsidRPr="00F40950">
        <w:t xml:space="preserve">edieval </w:t>
      </w:r>
      <w:r w:rsidR="008723FF">
        <w:t>Latin and H</w:t>
      </w:r>
      <w:r w:rsidR="00815BA2" w:rsidRPr="00F40950">
        <w:t>is</w:t>
      </w:r>
      <w:r w:rsidR="00A170C3" w:rsidRPr="00F40950">
        <w:t>tory</w:t>
      </w:r>
      <w:r w:rsidR="008723FF">
        <w:t>, Early Modern European Culture</w:t>
      </w:r>
    </w:p>
    <w:p w14:paraId="46D170AE" w14:textId="77777777" w:rsidR="008729F8" w:rsidRPr="00F40950" w:rsidRDefault="008729F8" w:rsidP="008723FF">
      <w:pPr>
        <w:pStyle w:val="Heading1"/>
        <w:spacing w:line="360" w:lineRule="auto"/>
        <w:rPr>
          <w:rFonts w:ascii="Times New Roman" w:hAnsi="Times New Roman" w:cs="Times New Roman"/>
        </w:rPr>
      </w:pPr>
      <w:r w:rsidRPr="00F40950">
        <w:rPr>
          <w:rFonts w:ascii="Times New Roman" w:hAnsi="Times New Roman" w:cs="Times New Roman"/>
        </w:rPr>
        <w:t>Education</w:t>
      </w:r>
    </w:p>
    <w:p w14:paraId="6BDCA331" w14:textId="77777777" w:rsidR="00287378" w:rsidRPr="00F40950" w:rsidRDefault="008729F8" w:rsidP="008723FF">
      <w:pPr>
        <w:pStyle w:val="BodyTextIndent"/>
        <w:spacing w:after="120" w:line="360" w:lineRule="auto"/>
        <w:ind w:left="270" w:firstLine="0"/>
        <w:contextualSpacing/>
        <w:rPr>
          <w:sz w:val="24"/>
        </w:rPr>
      </w:pPr>
      <w:r w:rsidRPr="00F40950">
        <w:rPr>
          <w:sz w:val="24"/>
        </w:rPr>
        <w:t>PhD in Classics, Yale University, 2008</w:t>
      </w:r>
    </w:p>
    <w:p w14:paraId="0A6D82CB" w14:textId="68EDAAFC" w:rsidR="00287378" w:rsidRDefault="008729F8" w:rsidP="008723FF">
      <w:pPr>
        <w:pStyle w:val="BodyTextIndent"/>
        <w:spacing w:after="120" w:line="360" w:lineRule="auto"/>
        <w:ind w:left="270" w:firstLine="0"/>
        <w:contextualSpacing/>
        <w:rPr>
          <w:sz w:val="24"/>
        </w:rPr>
      </w:pPr>
      <w:r w:rsidRPr="00F40950">
        <w:rPr>
          <w:sz w:val="24"/>
        </w:rPr>
        <w:t xml:space="preserve">MA </w:t>
      </w:r>
      <w:r w:rsidR="00E65837" w:rsidRPr="00F40950">
        <w:rPr>
          <w:sz w:val="24"/>
        </w:rPr>
        <w:t xml:space="preserve">and MPhil </w:t>
      </w:r>
      <w:r w:rsidRPr="00F40950">
        <w:rPr>
          <w:sz w:val="24"/>
        </w:rPr>
        <w:t>in Classics, Yale University, 2005</w:t>
      </w:r>
      <w:r w:rsidR="00575232" w:rsidRPr="00575232">
        <w:rPr>
          <w:bCs/>
          <w:iCs/>
          <w:sz w:val="24"/>
        </w:rPr>
        <w:t>–</w:t>
      </w:r>
      <w:r w:rsidR="00575232">
        <w:rPr>
          <w:bCs/>
          <w:iCs/>
          <w:sz w:val="24"/>
        </w:rPr>
        <w:t>200</w:t>
      </w:r>
      <w:r w:rsidR="00E65837" w:rsidRPr="00F40950">
        <w:rPr>
          <w:sz w:val="24"/>
        </w:rPr>
        <w:t>6</w:t>
      </w:r>
    </w:p>
    <w:p w14:paraId="263F601E" w14:textId="5BB3E75E" w:rsidR="00614B12" w:rsidRPr="00F40950" w:rsidRDefault="00614B12" w:rsidP="008723FF">
      <w:pPr>
        <w:pStyle w:val="BodyTextIndent"/>
        <w:spacing w:after="120" w:line="360" w:lineRule="auto"/>
        <w:ind w:left="270" w:firstLine="0"/>
        <w:contextualSpacing/>
        <w:rPr>
          <w:sz w:val="24"/>
        </w:rPr>
      </w:pPr>
      <w:r>
        <w:rPr>
          <w:sz w:val="24"/>
        </w:rPr>
        <w:t>Post-</w:t>
      </w:r>
      <w:proofErr w:type="spellStart"/>
      <w:r>
        <w:rPr>
          <w:sz w:val="24"/>
        </w:rPr>
        <w:t>Bacc</w:t>
      </w:r>
      <w:proofErr w:type="spellEnd"/>
      <w:r>
        <w:rPr>
          <w:sz w:val="24"/>
        </w:rPr>
        <w:t xml:space="preserve">. </w:t>
      </w:r>
      <w:r w:rsidR="0076301D">
        <w:rPr>
          <w:sz w:val="24"/>
        </w:rPr>
        <w:t>C</w:t>
      </w:r>
      <w:r>
        <w:rPr>
          <w:sz w:val="24"/>
        </w:rPr>
        <w:t>ertificate in Classics, UNC Chapel Hill, 2002</w:t>
      </w:r>
    </w:p>
    <w:p w14:paraId="6857257B" w14:textId="2209B901" w:rsidR="008729F8" w:rsidRPr="00F40950" w:rsidRDefault="008729F8" w:rsidP="008723FF">
      <w:pPr>
        <w:pStyle w:val="BodyTextIndent"/>
        <w:spacing w:after="120" w:line="360" w:lineRule="auto"/>
        <w:ind w:left="270" w:firstLine="0"/>
        <w:contextualSpacing/>
        <w:rPr>
          <w:sz w:val="24"/>
        </w:rPr>
      </w:pPr>
      <w:r w:rsidRPr="00F40950">
        <w:rPr>
          <w:sz w:val="24"/>
        </w:rPr>
        <w:t xml:space="preserve">BA </w:t>
      </w:r>
      <w:r w:rsidRPr="00F40950">
        <w:rPr>
          <w:i/>
          <w:iCs/>
          <w:sz w:val="24"/>
        </w:rPr>
        <w:t>summa cum laude</w:t>
      </w:r>
      <w:r w:rsidRPr="00F40950">
        <w:rPr>
          <w:sz w:val="24"/>
        </w:rPr>
        <w:t xml:space="preserve"> in English and History, </w:t>
      </w:r>
      <w:r w:rsidR="00614B12">
        <w:rPr>
          <w:sz w:val="24"/>
        </w:rPr>
        <w:t xml:space="preserve">minor in Classical </w:t>
      </w:r>
      <w:r w:rsidR="0076301D">
        <w:rPr>
          <w:sz w:val="24"/>
        </w:rPr>
        <w:t>L</w:t>
      </w:r>
      <w:r w:rsidR="00614B12">
        <w:rPr>
          <w:sz w:val="24"/>
        </w:rPr>
        <w:t xml:space="preserve">anguages, </w:t>
      </w:r>
      <w:r w:rsidR="00E65837" w:rsidRPr="00F40950">
        <w:rPr>
          <w:sz w:val="24"/>
        </w:rPr>
        <w:t>UNC</w:t>
      </w:r>
      <w:r w:rsidRPr="00F40950">
        <w:rPr>
          <w:sz w:val="24"/>
        </w:rPr>
        <w:t xml:space="preserve"> Charlotte, 2001</w:t>
      </w:r>
    </w:p>
    <w:p w14:paraId="7245BD91" w14:textId="6A0B23F7" w:rsidR="00C40DD6" w:rsidRPr="00F40950" w:rsidRDefault="00C40DD6" w:rsidP="008723FF">
      <w:pPr>
        <w:pStyle w:val="Heading1"/>
        <w:spacing w:line="360" w:lineRule="auto"/>
        <w:rPr>
          <w:rFonts w:ascii="Times New Roman" w:hAnsi="Times New Roman" w:cs="Times New Roman"/>
        </w:rPr>
      </w:pPr>
      <w:r w:rsidRPr="00F40950">
        <w:rPr>
          <w:rFonts w:ascii="Times New Roman" w:hAnsi="Times New Roman" w:cs="Times New Roman"/>
        </w:rPr>
        <w:t xml:space="preserve">Current </w:t>
      </w:r>
      <w:r w:rsidR="00D94C9E" w:rsidRPr="00F40950">
        <w:rPr>
          <w:rFonts w:ascii="Times New Roman" w:hAnsi="Times New Roman" w:cs="Times New Roman"/>
        </w:rPr>
        <w:t>p</w:t>
      </w:r>
      <w:r w:rsidRPr="00F40950">
        <w:rPr>
          <w:rFonts w:ascii="Times New Roman" w:hAnsi="Times New Roman" w:cs="Times New Roman"/>
        </w:rPr>
        <w:t>osition</w:t>
      </w:r>
    </w:p>
    <w:p w14:paraId="7886545D" w14:textId="3E4170BB" w:rsidR="00981583" w:rsidRPr="00F40950" w:rsidRDefault="00981583" w:rsidP="008723FF">
      <w:pPr>
        <w:spacing w:line="360" w:lineRule="auto"/>
        <w:ind w:left="270"/>
      </w:pPr>
      <w:r w:rsidRPr="00F40950">
        <w:t>Lecturer in Latin, Yale Divinity School</w:t>
      </w:r>
    </w:p>
    <w:p w14:paraId="545F7B2E" w14:textId="1ADE8344" w:rsidR="00C40DD6" w:rsidRPr="00F40950" w:rsidRDefault="00F21644" w:rsidP="008723FF">
      <w:pPr>
        <w:spacing w:after="120" w:line="360" w:lineRule="auto"/>
        <w:ind w:left="540" w:hanging="266"/>
      </w:pPr>
      <w:r>
        <w:t xml:space="preserve">Scholarly </w:t>
      </w:r>
      <w:r w:rsidR="00C40DD6" w:rsidRPr="00F40950">
        <w:t xml:space="preserve">translator </w:t>
      </w:r>
      <w:r w:rsidR="00614B12">
        <w:t>specializ</w:t>
      </w:r>
      <w:r w:rsidR="007C53B1">
        <w:t>ing</w:t>
      </w:r>
      <w:r w:rsidR="00614B12">
        <w:t xml:space="preserve"> in German,</w:t>
      </w:r>
      <w:r w:rsidR="00C40DD6" w:rsidRPr="00F40950">
        <w:t xml:space="preserve"> French, and Italian</w:t>
      </w:r>
      <w:r w:rsidR="00E17CD3">
        <w:t xml:space="preserve"> </w:t>
      </w:r>
      <w:r>
        <w:t>literature in the fields</w:t>
      </w:r>
      <w:r w:rsidR="00E17CD3">
        <w:t xml:space="preserve"> o</w:t>
      </w:r>
      <w:r>
        <w:t>f</w:t>
      </w:r>
      <w:r w:rsidR="00E17CD3">
        <w:t xml:space="preserve"> Classic</w:t>
      </w:r>
      <w:r>
        <w:t>s</w:t>
      </w:r>
      <w:r w:rsidR="00E17CD3">
        <w:t xml:space="preserve"> and European </w:t>
      </w:r>
      <w:r>
        <w:t>h</w:t>
      </w:r>
      <w:r w:rsidR="00E17CD3">
        <w:t>istory (ancient, medieval, and early modern)</w:t>
      </w:r>
    </w:p>
    <w:p w14:paraId="6E05763D" w14:textId="77777777" w:rsidR="00211A8A" w:rsidRPr="00F40950" w:rsidRDefault="00C40DD6" w:rsidP="008723FF">
      <w:pPr>
        <w:pStyle w:val="Heading1"/>
        <w:spacing w:line="360" w:lineRule="auto"/>
        <w:rPr>
          <w:rFonts w:ascii="Times New Roman" w:hAnsi="Times New Roman" w:cs="Times New Roman"/>
        </w:rPr>
      </w:pPr>
      <w:r w:rsidRPr="00F40950">
        <w:rPr>
          <w:rFonts w:ascii="Times New Roman" w:hAnsi="Times New Roman" w:cs="Times New Roman"/>
        </w:rPr>
        <w:t xml:space="preserve">Previous </w:t>
      </w:r>
      <w:r w:rsidR="00D94C9E" w:rsidRPr="00F40950">
        <w:rPr>
          <w:rFonts w:ascii="Times New Roman" w:hAnsi="Times New Roman" w:cs="Times New Roman"/>
        </w:rPr>
        <w:t>p</w:t>
      </w:r>
      <w:r w:rsidRPr="00F40950">
        <w:rPr>
          <w:rFonts w:ascii="Times New Roman" w:hAnsi="Times New Roman" w:cs="Times New Roman"/>
        </w:rPr>
        <w:t>ositions</w:t>
      </w:r>
    </w:p>
    <w:p w14:paraId="6295FCE4" w14:textId="5FBE920D" w:rsidR="00257608" w:rsidRPr="00F40950" w:rsidRDefault="00257608" w:rsidP="008723FF">
      <w:pPr>
        <w:pStyle w:val="BodyTextIndent2"/>
        <w:tabs>
          <w:tab w:val="left" w:pos="1440"/>
        </w:tabs>
        <w:spacing w:after="120" w:line="360" w:lineRule="auto"/>
        <w:ind w:left="1440" w:hanging="1170"/>
        <w:contextualSpacing/>
        <w:rPr>
          <w:iCs/>
          <w:sz w:val="24"/>
        </w:rPr>
      </w:pPr>
      <w:r w:rsidRPr="00F40950">
        <w:rPr>
          <w:iCs/>
          <w:sz w:val="24"/>
        </w:rPr>
        <w:t>Visiting Lecturer, Department of History, Peking University, Beijing, China</w:t>
      </w:r>
      <w:r w:rsidR="00981583" w:rsidRPr="00F40950">
        <w:rPr>
          <w:iCs/>
          <w:sz w:val="24"/>
        </w:rPr>
        <w:t xml:space="preserve"> (2012</w:t>
      </w:r>
      <w:r w:rsidR="00575232" w:rsidRPr="00575232">
        <w:rPr>
          <w:bCs/>
          <w:iCs/>
          <w:sz w:val="24"/>
        </w:rPr>
        <w:t>–</w:t>
      </w:r>
      <w:r w:rsidR="00575232">
        <w:rPr>
          <w:bCs/>
          <w:iCs/>
          <w:sz w:val="24"/>
        </w:rPr>
        <w:t>20</w:t>
      </w:r>
      <w:r w:rsidR="00981583" w:rsidRPr="00F40950">
        <w:rPr>
          <w:iCs/>
          <w:sz w:val="24"/>
        </w:rPr>
        <w:t>13)</w:t>
      </w:r>
    </w:p>
    <w:p w14:paraId="2F13A50D" w14:textId="5BA69205" w:rsidR="00211A8A" w:rsidRPr="00F40950" w:rsidRDefault="00E65837" w:rsidP="008723FF">
      <w:pPr>
        <w:pStyle w:val="BodyTextIndent2"/>
        <w:spacing w:after="120" w:line="360" w:lineRule="auto"/>
        <w:ind w:left="720" w:hanging="450"/>
        <w:contextualSpacing/>
        <w:rPr>
          <w:iCs/>
          <w:sz w:val="24"/>
        </w:rPr>
      </w:pPr>
      <w:r w:rsidRPr="00F40950">
        <w:rPr>
          <w:iCs/>
          <w:sz w:val="24"/>
        </w:rPr>
        <w:t>Lecturer</w:t>
      </w:r>
      <w:r w:rsidR="00211A8A" w:rsidRPr="00F40950">
        <w:rPr>
          <w:iCs/>
          <w:sz w:val="24"/>
        </w:rPr>
        <w:t>, Department of Classics and Ancient History, Un</w:t>
      </w:r>
      <w:r w:rsidR="00FE375A" w:rsidRPr="00F40950">
        <w:rPr>
          <w:iCs/>
          <w:sz w:val="24"/>
        </w:rPr>
        <w:t xml:space="preserve">iversity of </w:t>
      </w:r>
      <w:r w:rsidR="0009369D" w:rsidRPr="00F40950">
        <w:rPr>
          <w:iCs/>
          <w:sz w:val="24"/>
        </w:rPr>
        <w:t>Exeter</w:t>
      </w:r>
      <w:r w:rsidR="00257608" w:rsidRPr="00F40950">
        <w:rPr>
          <w:iCs/>
          <w:sz w:val="24"/>
        </w:rPr>
        <w:t>, UK</w:t>
      </w:r>
      <w:r w:rsidR="00981583" w:rsidRPr="00F40950">
        <w:rPr>
          <w:iCs/>
          <w:sz w:val="24"/>
        </w:rPr>
        <w:t xml:space="preserve"> (2010</w:t>
      </w:r>
      <w:r w:rsidR="00575232" w:rsidRPr="00575232">
        <w:rPr>
          <w:bCs/>
          <w:iCs/>
          <w:sz w:val="24"/>
        </w:rPr>
        <w:t>–</w:t>
      </w:r>
      <w:r w:rsidR="00575232">
        <w:rPr>
          <w:bCs/>
          <w:iCs/>
          <w:sz w:val="24"/>
        </w:rPr>
        <w:t>20</w:t>
      </w:r>
      <w:r w:rsidR="00981583" w:rsidRPr="00F40950">
        <w:rPr>
          <w:iCs/>
          <w:sz w:val="24"/>
        </w:rPr>
        <w:t>12)</w:t>
      </w:r>
    </w:p>
    <w:p w14:paraId="1FAF9E9E" w14:textId="0638435E" w:rsidR="002A7C02" w:rsidRPr="00F40950" w:rsidRDefault="00211A8A" w:rsidP="008723FF">
      <w:pPr>
        <w:pStyle w:val="BodyTextIndent2"/>
        <w:spacing w:after="120" w:line="360" w:lineRule="auto"/>
        <w:ind w:left="540" w:hanging="270"/>
        <w:contextualSpacing/>
        <w:rPr>
          <w:iCs/>
          <w:sz w:val="24"/>
          <w:lang w:val="de-DE"/>
        </w:rPr>
      </w:pPr>
      <w:r w:rsidRPr="00BB2AC0">
        <w:rPr>
          <w:iCs/>
          <w:sz w:val="24"/>
          <w:lang w:val="de-DE"/>
        </w:rPr>
        <w:t xml:space="preserve">Post-Doctoral Fellow, </w:t>
      </w:r>
      <w:r w:rsidRPr="00F40950">
        <w:rPr>
          <w:iCs/>
          <w:sz w:val="24"/>
          <w:lang w:val="de-DE"/>
        </w:rPr>
        <w:t>Ruprecht-Karls-Universität Heidelberg</w:t>
      </w:r>
      <w:r w:rsidR="00257608" w:rsidRPr="00F40950">
        <w:rPr>
          <w:iCs/>
          <w:sz w:val="24"/>
          <w:lang w:val="de-DE"/>
        </w:rPr>
        <w:t>, Germany</w:t>
      </w:r>
      <w:r w:rsidR="00981583" w:rsidRPr="00F40950">
        <w:rPr>
          <w:iCs/>
          <w:sz w:val="24"/>
          <w:lang w:val="de-DE"/>
        </w:rPr>
        <w:t xml:space="preserve"> (</w:t>
      </w:r>
      <w:r w:rsidR="00981583" w:rsidRPr="00BB2AC0">
        <w:rPr>
          <w:iCs/>
          <w:sz w:val="24"/>
          <w:lang w:val="de-DE"/>
        </w:rPr>
        <w:t>2009</w:t>
      </w:r>
      <w:r w:rsidR="00575232" w:rsidRPr="00BB2AC0">
        <w:rPr>
          <w:bCs/>
          <w:iCs/>
          <w:sz w:val="24"/>
          <w:lang w:val="de-DE"/>
        </w:rPr>
        <w:t>–20</w:t>
      </w:r>
      <w:r w:rsidR="00981583" w:rsidRPr="00BB2AC0">
        <w:rPr>
          <w:iCs/>
          <w:sz w:val="24"/>
          <w:lang w:val="de-DE"/>
        </w:rPr>
        <w:t>10)</w:t>
      </w:r>
    </w:p>
    <w:p w14:paraId="2F64E466" w14:textId="7DAEE42F" w:rsidR="00287378" w:rsidRPr="00F40950" w:rsidRDefault="00211A8A" w:rsidP="008723FF">
      <w:pPr>
        <w:pStyle w:val="BodyTextIndent2"/>
        <w:spacing w:after="120" w:line="360" w:lineRule="auto"/>
        <w:ind w:left="720" w:hanging="450"/>
        <w:contextualSpacing/>
        <w:rPr>
          <w:iCs/>
          <w:sz w:val="24"/>
        </w:rPr>
      </w:pPr>
      <w:r w:rsidRPr="00F40950">
        <w:rPr>
          <w:iCs/>
          <w:sz w:val="24"/>
        </w:rPr>
        <w:t>Graduate Teaching Fellow, Yale University</w:t>
      </w:r>
      <w:r w:rsidR="00981583" w:rsidRPr="00F40950">
        <w:rPr>
          <w:iCs/>
          <w:sz w:val="24"/>
        </w:rPr>
        <w:t xml:space="preserve"> (2004</w:t>
      </w:r>
      <w:r w:rsidR="00575232" w:rsidRPr="00575232">
        <w:rPr>
          <w:bCs/>
          <w:iCs/>
          <w:sz w:val="24"/>
        </w:rPr>
        <w:t>–</w:t>
      </w:r>
      <w:r w:rsidR="00575232">
        <w:rPr>
          <w:bCs/>
          <w:iCs/>
          <w:sz w:val="24"/>
        </w:rPr>
        <w:t>200</w:t>
      </w:r>
      <w:r w:rsidR="00981583" w:rsidRPr="00F40950">
        <w:rPr>
          <w:iCs/>
          <w:sz w:val="24"/>
        </w:rPr>
        <w:t>8)</w:t>
      </w:r>
    </w:p>
    <w:p w14:paraId="4C9ADE18" w14:textId="77777777" w:rsidR="00981583" w:rsidRPr="00F40950" w:rsidRDefault="00981583" w:rsidP="008723FF">
      <w:pPr>
        <w:pStyle w:val="Heading1"/>
        <w:spacing w:line="360" w:lineRule="auto"/>
        <w:rPr>
          <w:rFonts w:ascii="Times New Roman" w:hAnsi="Times New Roman" w:cs="Times New Roman"/>
        </w:rPr>
      </w:pPr>
      <w:r w:rsidRPr="00F40950">
        <w:rPr>
          <w:rFonts w:ascii="Times New Roman" w:hAnsi="Times New Roman" w:cs="Times New Roman"/>
        </w:rPr>
        <w:t xml:space="preserve">Honors and </w:t>
      </w:r>
      <w:r w:rsidR="00D94C9E" w:rsidRPr="00F40950">
        <w:rPr>
          <w:rFonts w:ascii="Times New Roman" w:hAnsi="Times New Roman" w:cs="Times New Roman"/>
        </w:rPr>
        <w:t>a</w:t>
      </w:r>
      <w:r w:rsidRPr="00F40950">
        <w:rPr>
          <w:rFonts w:ascii="Times New Roman" w:hAnsi="Times New Roman" w:cs="Times New Roman"/>
        </w:rPr>
        <w:t>wards</w:t>
      </w:r>
    </w:p>
    <w:p w14:paraId="6C470BAB" w14:textId="7992EB1E" w:rsidR="00E66328" w:rsidRPr="00F40950" w:rsidRDefault="00981583" w:rsidP="008723FF">
      <w:pPr>
        <w:pStyle w:val="BodyTextIndent2"/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 xml:space="preserve">Young Talents </w:t>
      </w:r>
      <w:proofErr w:type="spellStart"/>
      <w:r w:rsidRPr="00F40950">
        <w:rPr>
          <w:bCs/>
          <w:iCs/>
          <w:sz w:val="24"/>
        </w:rPr>
        <w:t>Programme</w:t>
      </w:r>
      <w:proofErr w:type="spellEnd"/>
      <w:r w:rsidRPr="00F40950">
        <w:rPr>
          <w:bCs/>
          <w:iCs/>
          <w:sz w:val="24"/>
        </w:rPr>
        <w:t>, Peking University (2012</w:t>
      </w:r>
      <w:r w:rsidR="00575232" w:rsidRPr="00575232">
        <w:rPr>
          <w:bCs/>
          <w:iCs/>
          <w:sz w:val="24"/>
        </w:rPr>
        <w:t>–</w:t>
      </w:r>
      <w:r w:rsidR="00575232">
        <w:rPr>
          <w:bCs/>
          <w:iCs/>
          <w:sz w:val="24"/>
        </w:rPr>
        <w:t>20</w:t>
      </w:r>
      <w:r w:rsidRPr="00F40950">
        <w:rPr>
          <w:bCs/>
          <w:iCs/>
          <w:sz w:val="24"/>
        </w:rPr>
        <w:t>13)</w:t>
      </w:r>
    </w:p>
    <w:p w14:paraId="7C978DDD" w14:textId="77777777" w:rsidR="00981583" w:rsidRPr="00F40950" w:rsidRDefault="00981583" w:rsidP="008723FF">
      <w:pPr>
        <w:pStyle w:val="BodyTextIndent2"/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Fellow of the Higher Education Academy, UK (2012)</w:t>
      </w:r>
    </w:p>
    <w:p w14:paraId="5D2A431B" w14:textId="53C5FEEE" w:rsidR="00981583" w:rsidRPr="00F40950" w:rsidRDefault="00981583" w:rsidP="008723FF">
      <w:pPr>
        <w:pStyle w:val="BodyTextIndent2"/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Whiting Dissertation Fel</w:t>
      </w:r>
      <w:r w:rsidR="00B312E1" w:rsidRPr="00F40950">
        <w:rPr>
          <w:bCs/>
          <w:iCs/>
          <w:sz w:val="24"/>
        </w:rPr>
        <w:t>lowship, Yale University (2007</w:t>
      </w:r>
      <w:r w:rsidR="00575232" w:rsidRPr="00575232">
        <w:rPr>
          <w:bCs/>
          <w:iCs/>
          <w:sz w:val="24"/>
        </w:rPr>
        <w:t>–</w:t>
      </w:r>
      <w:r w:rsidR="00575232">
        <w:rPr>
          <w:bCs/>
          <w:iCs/>
          <w:sz w:val="24"/>
        </w:rPr>
        <w:t>200</w:t>
      </w:r>
      <w:r w:rsidRPr="00F40950">
        <w:rPr>
          <w:bCs/>
          <w:iCs/>
          <w:sz w:val="24"/>
        </w:rPr>
        <w:t>8)</w:t>
      </w:r>
    </w:p>
    <w:p w14:paraId="395D4B56" w14:textId="6B949818" w:rsidR="00981583" w:rsidRPr="00F40950" w:rsidRDefault="00981583" w:rsidP="008723FF">
      <w:pPr>
        <w:pStyle w:val="BodyTextIndent2"/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Fulbright Research Grant, Ludwig-</w:t>
      </w:r>
      <w:proofErr w:type="spellStart"/>
      <w:r w:rsidRPr="00F40950">
        <w:rPr>
          <w:bCs/>
          <w:iCs/>
          <w:sz w:val="24"/>
        </w:rPr>
        <w:t>Maximilians</w:t>
      </w:r>
      <w:proofErr w:type="spellEnd"/>
      <w:r w:rsidRPr="00F40950">
        <w:rPr>
          <w:bCs/>
          <w:iCs/>
          <w:sz w:val="24"/>
        </w:rPr>
        <w:t>-Universität</w:t>
      </w:r>
      <w:r w:rsidR="00B312E1" w:rsidRPr="00F40950">
        <w:rPr>
          <w:bCs/>
          <w:iCs/>
          <w:sz w:val="24"/>
        </w:rPr>
        <w:t xml:space="preserve"> Munich (2005</w:t>
      </w:r>
      <w:r w:rsidR="00575232" w:rsidRPr="00575232">
        <w:rPr>
          <w:bCs/>
          <w:iCs/>
          <w:sz w:val="24"/>
        </w:rPr>
        <w:t>–</w:t>
      </w:r>
      <w:r w:rsidR="00575232">
        <w:rPr>
          <w:bCs/>
          <w:iCs/>
          <w:sz w:val="24"/>
        </w:rPr>
        <w:t>200</w:t>
      </w:r>
      <w:r w:rsidRPr="00F40950">
        <w:rPr>
          <w:bCs/>
          <w:iCs/>
          <w:sz w:val="24"/>
        </w:rPr>
        <w:t>6)</w:t>
      </w:r>
    </w:p>
    <w:p w14:paraId="4B1FE4A1" w14:textId="77777777" w:rsidR="00981583" w:rsidRPr="00BB2AC0" w:rsidRDefault="00981583" w:rsidP="008723FF">
      <w:pPr>
        <w:pStyle w:val="BodyTextIndent2"/>
        <w:spacing w:after="120" w:line="360" w:lineRule="auto"/>
        <w:ind w:left="548" w:hanging="274"/>
        <w:contextualSpacing/>
        <w:rPr>
          <w:bCs/>
          <w:iCs/>
          <w:sz w:val="24"/>
          <w:lang w:val="de-DE"/>
        </w:rPr>
      </w:pPr>
      <w:r w:rsidRPr="00BB2AC0">
        <w:rPr>
          <w:bCs/>
          <w:iCs/>
          <w:sz w:val="24"/>
          <w:lang w:val="de-DE"/>
        </w:rPr>
        <w:t xml:space="preserve">DAAD </w:t>
      </w:r>
      <w:r w:rsidRPr="0076301D">
        <w:rPr>
          <w:bCs/>
          <w:iCs/>
          <w:sz w:val="24"/>
          <w:lang w:val="de-DE"/>
        </w:rPr>
        <w:t>Forschungsstipendium</w:t>
      </w:r>
      <w:r w:rsidRPr="00BB2AC0">
        <w:rPr>
          <w:bCs/>
          <w:iCs/>
          <w:sz w:val="24"/>
          <w:lang w:val="de-DE"/>
        </w:rPr>
        <w:t>, Munich, Germany (declined)</w:t>
      </w:r>
    </w:p>
    <w:p w14:paraId="2192CBC8" w14:textId="6256F8D0" w:rsidR="00981583" w:rsidRPr="00F40950" w:rsidRDefault="00981583" w:rsidP="008723FF">
      <w:pPr>
        <w:pStyle w:val="BodyTextIndent2"/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William Flinn II Scho</w:t>
      </w:r>
      <w:r w:rsidR="00B312E1" w:rsidRPr="00F40950">
        <w:rPr>
          <w:bCs/>
          <w:iCs/>
          <w:sz w:val="24"/>
        </w:rPr>
        <w:t>larship, Yale University (2004</w:t>
      </w:r>
      <w:r w:rsidR="00575232" w:rsidRPr="00575232">
        <w:rPr>
          <w:bCs/>
          <w:iCs/>
          <w:sz w:val="24"/>
        </w:rPr>
        <w:t>–</w:t>
      </w:r>
      <w:r w:rsidR="00575232">
        <w:rPr>
          <w:bCs/>
          <w:iCs/>
          <w:sz w:val="24"/>
        </w:rPr>
        <w:t>200</w:t>
      </w:r>
      <w:r w:rsidRPr="00F40950">
        <w:rPr>
          <w:bCs/>
          <w:iCs/>
          <w:sz w:val="24"/>
        </w:rPr>
        <w:t>5)</w:t>
      </w:r>
    </w:p>
    <w:p w14:paraId="17A08296" w14:textId="6F25F351" w:rsidR="00981583" w:rsidRPr="00F40950" w:rsidRDefault="00981583" w:rsidP="008723FF">
      <w:pPr>
        <w:pStyle w:val="BodyTextIndent2"/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Richard J. Franke Fellowship in Classics, Yale University (2002</w:t>
      </w:r>
      <w:r w:rsidR="00575232" w:rsidRPr="00575232">
        <w:rPr>
          <w:bCs/>
          <w:iCs/>
          <w:sz w:val="24"/>
        </w:rPr>
        <w:t>–</w:t>
      </w:r>
      <w:r w:rsidR="00575232">
        <w:rPr>
          <w:bCs/>
          <w:iCs/>
          <w:sz w:val="24"/>
        </w:rPr>
        <w:t>200</w:t>
      </w:r>
      <w:r w:rsidRPr="00F40950">
        <w:rPr>
          <w:bCs/>
          <w:iCs/>
          <w:sz w:val="24"/>
        </w:rPr>
        <w:t>4)</w:t>
      </w:r>
    </w:p>
    <w:p w14:paraId="03BE808C" w14:textId="6F6A8994" w:rsidR="00981583" w:rsidRPr="00F40950" w:rsidRDefault="007C53B1" w:rsidP="008723FF">
      <w:pPr>
        <w:pStyle w:val="Heading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="00E66328" w:rsidRPr="00F40950">
        <w:rPr>
          <w:rFonts w:ascii="Times New Roman" w:hAnsi="Times New Roman" w:cs="Times New Roman"/>
        </w:rPr>
        <w:t>ook-</w:t>
      </w:r>
      <w:r w:rsidR="003A2BC6">
        <w:rPr>
          <w:rFonts w:ascii="Times New Roman" w:hAnsi="Times New Roman" w:cs="Times New Roman"/>
        </w:rPr>
        <w:t>l</w:t>
      </w:r>
      <w:r w:rsidR="00E66328" w:rsidRPr="00F40950">
        <w:rPr>
          <w:rFonts w:ascii="Times New Roman" w:hAnsi="Times New Roman" w:cs="Times New Roman"/>
        </w:rPr>
        <w:t xml:space="preserve">ength </w:t>
      </w:r>
      <w:r w:rsidR="003A2BC6">
        <w:rPr>
          <w:rFonts w:ascii="Times New Roman" w:hAnsi="Times New Roman" w:cs="Times New Roman"/>
        </w:rPr>
        <w:t>c</w:t>
      </w:r>
      <w:r w:rsidR="00E66328" w:rsidRPr="00F40950">
        <w:rPr>
          <w:rFonts w:ascii="Times New Roman" w:hAnsi="Times New Roman" w:cs="Times New Roman"/>
        </w:rPr>
        <w:t>ontributions</w:t>
      </w:r>
    </w:p>
    <w:p w14:paraId="1345C577" w14:textId="6072C26E" w:rsidR="007C53B1" w:rsidRPr="00E64561" w:rsidRDefault="00575232" w:rsidP="008723FF">
      <w:pPr>
        <w:pStyle w:val="BodyTextIndent2"/>
        <w:spacing w:after="120" w:line="360" w:lineRule="auto"/>
        <w:ind w:left="548" w:hanging="274"/>
        <w:contextualSpacing/>
        <w:rPr>
          <w:bCs/>
          <w:sz w:val="24"/>
        </w:rPr>
      </w:pPr>
      <w:r>
        <w:rPr>
          <w:sz w:val="24"/>
        </w:rPr>
        <w:t xml:space="preserve">Trans. and ed. </w:t>
      </w:r>
      <w:r w:rsidR="007C53B1">
        <w:rPr>
          <w:i/>
          <w:iCs/>
          <w:sz w:val="24"/>
        </w:rPr>
        <w:t>The Theodosian Code</w:t>
      </w:r>
      <w:r>
        <w:rPr>
          <w:sz w:val="24"/>
        </w:rPr>
        <w:t>.</w:t>
      </w:r>
      <w:r w:rsidR="007C53B1">
        <w:rPr>
          <w:sz w:val="24"/>
        </w:rPr>
        <w:t xml:space="preserve"> Cambridge University Press</w:t>
      </w:r>
      <w:r>
        <w:rPr>
          <w:sz w:val="24"/>
        </w:rPr>
        <w:t>, forthcoming</w:t>
      </w:r>
      <w:r w:rsidR="007C53B1">
        <w:rPr>
          <w:sz w:val="24"/>
        </w:rPr>
        <w:t>. A new translation of the 5th-century law code last translated in English by Clyde Pharr &amp; co. (1955).</w:t>
      </w:r>
    </w:p>
    <w:p w14:paraId="3C6F3F41" w14:textId="0ABE453C" w:rsidR="007C53B1" w:rsidRDefault="00575232" w:rsidP="008723FF">
      <w:pPr>
        <w:pStyle w:val="BodyTextIndent2"/>
        <w:spacing w:after="120" w:line="360" w:lineRule="auto"/>
        <w:ind w:left="548" w:hanging="274"/>
        <w:contextualSpacing/>
        <w:rPr>
          <w:sz w:val="24"/>
        </w:rPr>
      </w:pPr>
      <w:r>
        <w:rPr>
          <w:iCs/>
          <w:sz w:val="24"/>
        </w:rPr>
        <w:t xml:space="preserve">Trans. and ed. </w:t>
      </w:r>
      <w:r w:rsidR="007C53B1">
        <w:rPr>
          <w:iCs/>
          <w:sz w:val="24"/>
        </w:rPr>
        <w:t>“</w:t>
      </w:r>
      <w:r w:rsidR="007C53B1" w:rsidRPr="00614B12">
        <w:rPr>
          <w:iCs/>
          <w:sz w:val="24"/>
        </w:rPr>
        <w:t>Introductory Constitutions</w:t>
      </w:r>
      <w:r w:rsidR="007C53B1">
        <w:rPr>
          <w:iCs/>
          <w:sz w:val="24"/>
        </w:rPr>
        <w:t>”</w:t>
      </w:r>
      <w:r w:rsidR="007C53B1" w:rsidRPr="00F40950">
        <w:rPr>
          <w:i/>
          <w:sz w:val="24"/>
        </w:rPr>
        <w:t xml:space="preserve"> </w:t>
      </w:r>
      <w:r w:rsidR="007C53B1" w:rsidRPr="00F40950">
        <w:rPr>
          <w:sz w:val="24"/>
        </w:rPr>
        <w:t xml:space="preserve">and </w:t>
      </w:r>
      <w:r w:rsidR="007C53B1">
        <w:rPr>
          <w:iCs/>
          <w:sz w:val="24"/>
        </w:rPr>
        <w:t>“First Book</w:t>
      </w:r>
      <w:r>
        <w:rPr>
          <w:iCs/>
          <w:sz w:val="24"/>
        </w:rPr>
        <w:t>.</w:t>
      </w:r>
      <w:r w:rsidR="007C53B1">
        <w:rPr>
          <w:iCs/>
          <w:sz w:val="24"/>
        </w:rPr>
        <w:t xml:space="preserve">” </w:t>
      </w:r>
      <w:r>
        <w:rPr>
          <w:sz w:val="24"/>
        </w:rPr>
        <w:t xml:space="preserve">In </w:t>
      </w:r>
      <w:proofErr w:type="gramStart"/>
      <w:r w:rsidR="007C53B1" w:rsidRPr="00F40950">
        <w:rPr>
          <w:i/>
          <w:sz w:val="24"/>
        </w:rPr>
        <w:t>The</w:t>
      </w:r>
      <w:proofErr w:type="gramEnd"/>
      <w:r w:rsidR="007C53B1" w:rsidRPr="00F40950">
        <w:rPr>
          <w:i/>
          <w:sz w:val="24"/>
        </w:rPr>
        <w:t xml:space="preserve"> Code of Justinian: A New Annotated Translation, with Parallel Latin and Greek</w:t>
      </w:r>
      <w:r w:rsidR="007C53B1" w:rsidRPr="00F40950">
        <w:rPr>
          <w:sz w:val="24"/>
        </w:rPr>
        <w:t>, vol. 1, ed. Bruce W. Frier</w:t>
      </w:r>
      <w:r>
        <w:rPr>
          <w:sz w:val="24"/>
        </w:rPr>
        <w:t>,</w:t>
      </w:r>
      <w:r w:rsidR="007C53B1" w:rsidRPr="00F40950">
        <w:rPr>
          <w:sz w:val="24"/>
        </w:rPr>
        <w:t xml:space="preserve"> </w:t>
      </w:r>
      <w:r w:rsidRPr="00F40950">
        <w:rPr>
          <w:sz w:val="24"/>
        </w:rPr>
        <w:t>1</w:t>
      </w:r>
      <w:r>
        <w:t>–</w:t>
      </w:r>
      <w:r w:rsidRPr="00F40950">
        <w:rPr>
          <w:sz w:val="24"/>
        </w:rPr>
        <w:t>405</w:t>
      </w:r>
      <w:r>
        <w:rPr>
          <w:sz w:val="24"/>
        </w:rPr>
        <w:t>.</w:t>
      </w:r>
      <w:r w:rsidRPr="00F40950">
        <w:rPr>
          <w:sz w:val="24"/>
        </w:rPr>
        <w:t xml:space="preserve"> </w:t>
      </w:r>
      <w:r w:rsidR="007C53B1" w:rsidRPr="00F40950">
        <w:rPr>
          <w:sz w:val="24"/>
        </w:rPr>
        <w:t>Cambridge University Press, 2016</w:t>
      </w:r>
      <w:r>
        <w:rPr>
          <w:sz w:val="24"/>
        </w:rPr>
        <w:t>.</w:t>
      </w:r>
    </w:p>
    <w:p w14:paraId="3E563C59" w14:textId="61650AB0" w:rsidR="00E66328" w:rsidRPr="00F40950" w:rsidRDefault="00575232" w:rsidP="008723FF">
      <w:pPr>
        <w:pStyle w:val="BodyTextIndent2"/>
        <w:spacing w:after="120" w:line="360" w:lineRule="auto"/>
        <w:ind w:left="548" w:hanging="274"/>
        <w:contextualSpacing/>
        <w:rPr>
          <w:bCs/>
          <w:iCs/>
          <w:sz w:val="24"/>
        </w:rPr>
      </w:pPr>
      <w:r>
        <w:rPr>
          <w:bCs/>
          <w:iCs/>
          <w:sz w:val="24"/>
        </w:rPr>
        <w:t xml:space="preserve">Author. </w:t>
      </w:r>
      <w:r w:rsidR="00981583" w:rsidRPr="00614B12">
        <w:rPr>
          <w:bCs/>
          <w:i/>
          <w:sz w:val="24"/>
        </w:rPr>
        <w:t>The Justice of Constantine: Law, Communication, and Control</w:t>
      </w:r>
      <w:r w:rsidR="003A2BC6">
        <w:rPr>
          <w:bCs/>
          <w:iCs/>
          <w:sz w:val="24"/>
        </w:rPr>
        <w:t xml:space="preserve">. </w:t>
      </w:r>
      <w:r w:rsidR="00981583" w:rsidRPr="00F40950">
        <w:rPr>
          <w:bCs/>
          <w:iCs/>
          <w:sz w:val="24"/>
        </w:rPr>
        <w:t>University of Mic</w:t>
      </w:r>
      <w:r w:rsidR="00D45569" w:rsidRPr="00F40950">
        <w:rPr>
          <w:bCs/>
          <w:iCs/>
          <w:sz w:val="24"/>
        </w:rPr>
        <w:t>higan Press, 2012</w:t>
      </w:r>
      <w:r w:rsidR="003A2BC6">
        <w:rPr>
          <w:bCs/>
          <w:iCs/>
          <w:sz w:val="24"/>
        </w:rPr>
        <w:t>.</w:t>
      </w:r>
      <w:r w:rsidR="00D45569" w:rsidRPr="00F40950">
        <w:rPr>
          <w:bCs/>
          <w:iCs/>
          <w:sz w:val="24"/>
        </w:rPr>
        <w:t xml:space="preserve"> </w:t>
      </w:r>
      <w:r w:rsidR="003A2BC6">
        <w:rPr>
          <w:bCs/>
          <w:iCs/>
          <w:sz w:val="24"/>
        </w:rPr>
        <w:t>P</w:t>
      </w:r>
      <w:r w:rsidR="00D45569" w:rsidRPr="00F40950">
        <w:rPr>
          <w:bCs/>
          <w:iCs/>
          <w:sz w:val="24"/>
        </w:rPr>
        <w:t>p. xiv, 295</w:t>
      </w:r>
      <w:r w:rsidR="003A2BC6">
        <w:rPr>
          <w:bCs/>
          <w:iCs/>
          <w:sz w:val="24"/>
        </w:rPr>
        <w:t>.</w:t>
      </w:r>
    </w:p>
    <w:p w14:paraId="354DC5F4" w14:textId="59C52249" w:rsidR="00E66328" w:rsidRPr="00F40950" w:rsidRDefault="003A2BC6" w:rsidP="008723FF">
      <w:pPr>
        <w:pStyle w:val="Heading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s</w:t>
      </w:r>
      <w:r w:rsidR="007C53B1">
        <w:rPr>
          <w:rFonts w:ascii="Times New Roman" w:hAnsi="Times New Roman" w:cs="Times New Roman"/>
        </w:rPr>
        <w:t xml:space="preserve">cholarly </w:t>
      </w:r>
      <w:r>
        <w:rPr>
          <w:rFonts w:ascii="Times New Roman" w:hAnsi="Times New Roman" w:cs="Times New Roman"/>
        </w:rPr>
        <w:t>t</w:t>
      </w:r>
      <w:r w:rsidR="00E66328" w:rsidRPr="00F40950">
        <w:rPr>
          <w:rFonts w:ascii="Times New Roman" w:hAnsi="Times New Roman" w:cs="Times New Roman"/>
        </w:rPr>
        <w:t>ranslation</w:t>
      </w:r>
      <w:r w:rsidR="0076301D">
        <w:rPr>
          <w:rFonts w:ascii="Times New Roman" w:hAnsi="Times New Roman" w:cs="Times New Roman"/>
        </w:rPr>
        <w:t>s</w:t>
      </w:r>
    </w:p>
    <w:p w14:paraId="0B92588D" w14:textId="055B5ECD" w:rsidR="0076301D" w:rsidRPr="00E64561" w:rsidRDefault="00575232" w:rsidP="0076301D">
      <w:pPr>
        <w:spacing w:line="360" w:lineRule="auto"/>
        <w:ind w:left="540" w:hanging="270"/>
        <w:rPr>
          <w:iCs/>
          <w:lang w:val="de-DE"/>
        </w:rPr>
      </w:pPr>
      <w:proofErr w:type="spellStart"/>
      <w:r>
        <w:rPr>
          <w:iCs/>
        </w:rPr>
        <w:t>Wiemer</w:t>
      </w:r>
      <w:proofErr w:type="spellEnd"/>
      <w:r>
        <w:rPr>
          <w:iCs/>
        </w:rPr>
        <w:t xml:space="preserve">, </w:t>
      </w:r>
      <w:r w:rsidR="0076301D">
        <w:rPr>
          <w:iCs/>
        </w:rPr>
        <w:t>Hans-Ulrich</w:t>
      </w:r>
      <w:r>
        <w:rPr>
          <w:iCs/>
        </w:rPr>
        <w:t>.</w:t>
      </w:r>
      <w:r w:rsidR="0076301D">
        <w:rPr>
          <w:iCs/>
        </w:rPr>
        <w:t xml:space="preserve"> </w:t>
      </w:r>
      <w:r w:rsidR="0076301D">
        <w:rPr>
          <w:i/>
        </w:rPr>
        <w:t>Theoderic the Great</w:t>
      </w:r>
      <w:r w:rsidR="003A2BC6" w:rsidRPr="003A2BC6">
        <w:rPr>
          <w:i/>
        </w:rPr>
        <w:t>: King of Goths, Ruler of Romans</w:t>
      </w:r>
      <w:r w:rsidR="003A2BC6">
        <w:rPr>
          <w:iCs/>
        </w:rPr>
        <w:t xml:space="preserve">. </w:t>
      </w:r>
      <w:r w:rsidR="0076301D" w:rsidRPr="00BB2AC0">
        <w:rPr>
          <w:iCs/>
          <w:lang w:val="de-DE"/>
        </w:rPr>
        <w:t xml:space="preserve">Yale University Press, forthcoming. </w:t>
      </w:r>
      <w:r w:rsidRPr="00BB2AC0">
        <w:rPr>
          <w:iCs/>
          <w:lang w:val="de-DE"/>
        </w:rPr>
        <w:br/>
        <w:t>[</w:t>
      </w:r>
      <w:r w:rsidR="0076301D" w:rsidRPr="00BB2AC0">
        <w:rPr>
          <w:iCs/>
          <w:lang w:val="de-DE"/>
        </w:rPr>
        <w:t xml:space="preserve">Translation of </w:t>
      </w:r>
      <w:r w:rsidR="0076301D" w:rsidRPr="00BB2AC0">
        <w:rPr>
          <w:i/>
          <w:lang w:val="de-DE"/>
        </w:rPr>
        <w:t xml:space="preserve">Theoderich der Grosse: </w:t>
      </w:r>
      <w:r w:rsidR="0076301D">
        <w:rPr>
          <w:i/>
          <w:lang w:val="de-DE"/>
        </w:rPr>
        <w:t>König der Goten, Herrscher der Römer</w:t>
      </w:r>
      <w:r w:rsidR="0076301D">
        <w:rPr>
          <w:iCs/>
          <w:lang w:val="de-DE"/>
        </w:rPr>
        <w:t xml:space="preserve"> (2018).</w:t>
      </w:r>
      <w:r>
        <w:rPr>
          <w:iCs/>
          <w:lang w:val="de-DE"/>
        </w:rPr>
        <w:t>]</w:t>
      </w:r>
    </w:p>
    <w:p w14:paraId="5BBCF216" w14:textId="18328468" w:rsidR="0076301D" w:rsidRPr="00614B12" w:rsidRDefault="00575232" w:rsidP="0076301D">
      <w:pPr>
        <w:spacing w:line="360" w:lineRule="auto"/>
        <w:ind w:left="540" w:hanging="270"/>
      </w:pPr>
      <w:r w:rsidRPr="00BB2AC0">
        <w:rPr>
          <w:lang w:val="de-DE"/>
        </w:rPr>
        <w:t xml:space="preserve">Friedrich, </w:t>
      </w:r>
      <w:r w:rsidR="0076301D" w:rsidRPr="00BB2AC0">
        <w:rPr>
          <w:lang w:val="de-DE"/>
        </w:rPr>
        <w:t>Markus</w:t>
      </w:r>
      <w:r w:rsidRPr="00BB2AC0">
        <w:rPr>
          <w:lang w:val="de-DE"/>
        </w:rPr>
        <w:t>.</w:t>
      </w:r>
      <w:r w:rsidR="0076301D" w:rsidRPr="00BB2AC0">
        <w:rPr>
          <w:lang w:val="de-DE"/>
        </w:rPr>
        <w:t xml:space="preserve"> </w:t>
      </w:r>
      <w:r w:rsidR="0076301D" w:rsidRPr="00F40950">
        <w:rPr>
          <w:i/>
          <w:iCs/>
        </w:rPr>
        <w:t xml:space="preserve">The Jesuits: </w:t>
      </w:r>
      <w:r w:rsidR="009C674A">
        <w:rPr>
          <w:i/>
          <w:iCs/>
        </w:rPr>
        <w:t>A History</w:t>
      </w:r>
      <w:r>
        <w:t xml:space="preserve">. Princeton </w:t>
      </w:r>
      <w:r w:rsidR="0076301D" w:rsidRPr="00F40950">
        <w:t>University Press</w:t>
      </w:r>
      <w:r>
        <w:t>,</w:t>
      </w:r>
      <w:r w:rsidR="0076301D">
        <w:t xml:space="preserve"> 202</w:t>
      </w:r>
      <w:r>
        <w:t>2</w:t>
      </w:r>
      <w:r w:rsidR="0076301D">
        <w:t>.</w:t>
      </w:r>
      <w:r>
        <w:br/>
        <w:t>[</w:t>
      </w:r>
      <w:r w:rsidR="0076301D">
        <w:t xml:space="preserve">Translation of </w:t>
      </w:r>
      <w:r w:rsidR="0076301D">
        <w:rPr>
          <w:i/>
          <w:iCs/>
        </w:rPr>
        <w:t xml:space="preserve">Die </w:t>
      </w:r>
      <w:proofErr w:type="spellStart"/>
      <w:r w:rsidR="0076301D">
        <w:rPr>
          <w:i/>
          <w:iCs/>
        </w:rPr>
        <w:t>Jesuiten</w:t>
      </w:r>
      <w:proofErr w:type="spellEnd"/>
      <w:r w:rsidR="0076301D">
        <w:rPr>
          <w:i/>
          <w:iCs/>
        </w:rPr>
        <w:t xml:space="preserve">. </w:t>
      </w:r>
      <w:proofErr w:type="spellStart"/>
      <w:r w:rsidR="0076301D">
        <w:rPr>
          <w:i/>
          <w:iCs/>
        </w:rPr>
        <w:t>Aufstieg</w:t>
      </w:r>
      <w:proofErr w:type="spellEnd"/>
      <w:r w:rsidR="0076301D">
        <w:rPr>
          <w:i/>
          <w:iCs/>
        </w:rPr>
        <w:t xml:space="preserve">, </w:t>
      </w:r>
      <w:proofErr w:type="spellStart"/>
      <w:r w:rsidR="0076301D">
        <w:rPr>
          <w:i/>
          <w:iCs/>
        </w:rPr>
        <w:t>Niedergang</w:t>
      </w:r>
      <w:proofErr w:type="spellEnd"/>
      <w:r w:rsidR="0076301D">
        <w:rPr>
          <w:i/>
          <w:iCs/>
        </w:rPr>
        <w:t xml:space="preserve">, </w:t>
      </w:r>
      <w:proofErr w:type="spellStart"/>
      <w:r w:rsidR="0076301D">
        <w:rPr>
          <w:i/>
          <w:iCs/>
        </w:rPr>
        <w:t>Neubeginn</w:t>
      </w:r>
      <w:proofErr w:type="spellEnd"/>
      <w:r w:rsidR="0076301D">
        <w:rPr>
          <w:i/>
          <w:iCs/>
        </w:rPr>
        <w:t xml:space="preserve"> </w:t>
      </w:r>
      <w:r w:rsidR="0076301D">
        <w:t>(2016).</w:t>
      </w:r>
      <w:r>
        <w:t>]</w:t>
      </w:r>
      <w:r w:rsidR="001270D9">
        <w:br/>
      </w:r>
      <w:hyperlink r:id="rId5" w:history="1">
        <w:r w:rsidR="001270D9" w:rsidRPr="00FD31FF">
          <w:rPr>
            <w:rStyle w:val="Hyperlink"/>
          </w:rPr>
          <w:t>https://press.princeton.edu/books/hardcover/9780691180120/the-jesuits</w:t>
        </w:r>
      </w:hyperlink>
      <w:r w:rsidR="001270D9">
        <w:t xml:space="preserve"> </w:t>
      </w:r>
    </w:p>
    <w:p w14:paraId="0E372B18" w14:textId="1FE438E0" w:rsidR="00575232" w:rsidRDefault="0076301D" w:rsidP="0076301D">
      <w:pPr>
        <w:spacing w:line="360" w:lineRule="auto"/>
        <w:ind w:left="540" w:hanging="270"/>
      </w:pPr>
      <w:r w:rsidRPr="00F40950">
        <w:rPr>
          <w:i/>
        </w:rPr>
        <w:t xml:space="preserve">Brill’s </w:t>
      </w:r>
      <w:r w:rsidR="001270D9">
        <w:rPr>
          <w:i/>
        </w:rPr>
        <w:t>Encyclopedia</w:t>
      </w:r>
      <w:r w:rsidRPr="00F40950">
        <w:rPr>
          <w:i/>
        </w:rPr>
        <w:t xml:space="preserve"> of Early Modern History</w:t>
      </w:r>
      <w:r w:rsidRPr="00F40950">
        <w:t xml:space="preserve"> (</w:t>
      </w:r>
      <w:r>
        <w:t>online</w:t>
      </w:r>
      <w:r w:rsidRPr="00F40950">
        <w:t xml:space="preserve">). </w:t>
      </w:r>
      <w:r w:rsidR="00575232">
        <w:t>[</w:t>
      </w:r>
      <w:r>
        <w:t>Numerous articles on l</w:t>
      </w:r>
      <w:r w:rsidRPr="00F40950">
        <w:t xml:space="preserve">egal and historical </w:t>
      </w:r>
      <w:r>
        <w:t xml:space="preserve">entries from </w:t>
      </w:r>
      <w:proofErr w:type="spellStart"/>
      <w:r w:rsidRPr="00F40950">
        <w:rPr>
          <w:i/>
        </w:rPr>
        <w:t>Enzyklopädie</w:t>
      </w:r>
      <w:proofErr w:type="spellEnd"/>
      <w:r w:rsidRPr="00F40950">
        <w:rPr>
          <w:i/>
        </w:rPr>
        <w:t xml:space="preserve"> der </w:t>
      </w:r>
      <w:proofErr w:type="spellStart"/>
      <w:r w:rsidRPr="00F40950">
        <w:rPr>
          <w:i/>
        </w:rPr>
        <w:t>frühen</w:t>
      </w:r>
      <w:proofErr w:type="spellEnd"/>
      <w:r w:rsidRPr="00F40950">
        <w:rPr>
          <w:i/>
        </w:rPr>
        <w:t xml:space="preserve"> </w:t>
      </w:r>
      <w:proofErr w:type="spellStart"/>
      <w:r w:rsidRPr="00F40950">
        <w:rPr>
          <w:i/>
        </w:rPr>
        <w:t>Neuzeit</w:t>
      </w:r>
      <w:proofErr w:type="spellEnd"/>
      <w:r w:rsidRPr="00F40950">
        <w:t xml:space="preserve"> (</w:t>
      </w:r>
      <w:proofErr w:type="spellStart"/>
      <w:r w:rsidR="003A2BC6">
        <w:t>Brll</w:t>
      </w:r>
      <w:proofErr w:type="spellEnd"/>
      <w:r w:rsidR="003A2BC6">
        <w:t xml:space="preserve">, </w:t>
      </w:r>
      <w:r w:rsidRPr="00F40950">
        <w:t>2005</w:t>
      </w:r>
      <w:r w:rsidR="00575232">
        <w:t>–20</w:t>
      </w:r>
      <w:r w:rsidRPr="00F40950">
        <w:t>12)</w:t>
      </w:r>
      <w:r w:rsidR="00575232">
        <w:t>.]</w:t>
      </w:r>
      <w:r w:rsidR="001270D9">
        <w:br/>
      </w:r>
      <w:hyperlink r:id="rId6" w:history="1">
        <w:r w:rsidR="001270D9" w:rsidRPr="00FD31FF">
          <w:rPr>
            <w:rStyle w:val="Hyperlink"/>
          </w:rPr>
          <w:t>https://brill.com/view/serial/EEMH</w:t>
        </w:r>
      </w:hyperlink>
      <w:r w:rsidR="001270D9">
        <w:t xml:space="preserve"> </w:t>
      </w:r>
    </w:p>
    <w:p w14:paraId="52B53A18" w14:textId="1CBA8743" w:rsidR="005D168C" w:rsidRPr="00BB2AC0" w:rsidRDefault="005D168C" w:rsidP="005D168C">
      <w:pPr>
        <w:spacing w:after="120" w:line="360" w:lineRule="auto"/>
        <w:ind w:left="548" w:hanging="274"/>
        <w:rPr>
          <w:lang w:val="de-DE"/>
        </w:rPr>
      </w:pPr>
      <w:r w:rsidRPr="00BB2AC0">
        <w:rPr>
          <w:lang w:val="de-DE"/>
        </w:rPr>
        <w:t xml:space="preserve">Friedrich, Markus. </w:t>
      </w:r>
      <w:r w:rsidRPr="00F40950">
        <w:rPr>
          <w:i/>
        </w:rPr>
        <w:t>The Birth of the Archive: A History of Knowledge</w:t>
      </w:r>
      <w:r w:rsidRPr="00F40950">
        <w:t xml:space="preserve"> (</w:t>
      </w:r>
      <w:r>
        <w:t xml:space="preserve">Ann Arbor: </w:t>
      </w:r>
      <w:r w:rsidRPr="00F40950">
        <w:t>University of Michigan Press, 201</w:t>
      </w:r>
      <w:r>
        <w:t>8</w:t>
      </w:r>
      <w:r w:rsidRPr="00F40950">
        <w:t xml:space="preserve">). </w:t>
      </w:r>
      <w:r w:rsidRPr="00BB2AC0">
        <w:rPr>
          <w:lang w:val="de-DE"/>
        </w:rPr>
        <w:t xml:space="preserve">Translation </w:t>
      </w:r>
      <w:proofErr w:type="spellStart"/>
      <w:r w:rsidRPr="00BB2AC0">
        <w:rPr>
          <w:lang w:val="de-DE"/>
        </w:rPr>
        <w:t>of</w:t>
      </w:r>
      <w:proofErr w:type="spellEnd"/>
      <w:r w:rsidRPr="00BB2AC0">
        <w:rPr>
          <w:lang w:val="de-DE"/>
        </w:rPr>
        <w:t xml:space="preserve"> </w:t>
      </w:r>
      <w:r w:rsidRPr="00F40950">
        <w:rPr>
          <w:i/>
          <w:lang w:val="de-DE"/>
        </w:rPr>
        <w:t>Die Geburt des Archivs</w:t>
      </w:r>
      <w:r>
        <w:rPr>
          <w:i/>
          <w:lang w:val="de-DE"/>
        </w:rPr>
        <w:t>: Eine Wissensgeschichte</w:t>
      </w:r>
      <w:r w:rsidRPr="00BB2AC0">
        <w:rPr>
          <w:lang w:val="de-DE"/>
        </w:rPr>
        <w:t xml:space="preserve"> (2013)</w:t>
      </w:r>
      <w:r w:rsidR="001270D9">
        <w:rPr>
          <w:lang w:val="de-DE"/>
        </w:rPr>
        <w:br/>
      </w:r>
      <w:hyperlink r:id="rId7" w:history="1">
        <w:r w:rsidR="001270D9" w:rsidRPr="00FD31FF">
          <w:rPr>
            <w:rStyle w:val="Hyperlink"/>
            <w:lang w:val="de-DE"/>
          </w:rPr>
          <w:t>https://www.press.umich.edu/9394529/birth_of_the_archive</w:t>
        </w:r>
      </w:hyperlink>
      <w:r w:rsidR="001270D9">
        <w:rPr>
          <w:lang w:val="de-DE"/>
        </w:rPr>
        <w:t xml:space="preserve"> </w:t>
      </w:r>
    </w:p>
    <w:p w14:paraId="2FB2E5FF" w14:textId="08DE7391" w:rsidR="0076301D" w:rsidRPr="00BB2AC0" w:rsidRDefault="003A2BC6" w:rsidP="0076301D">
      <w:pPr>
        <w:spacing w:line="360" w:lineRule="auto"/>
        <w:ind w:left="540" w:hanging="270"/>
        <w:rPr>
          <w:lang w:val="de-DE"/>
        </w:rPr>
      </w:pPr>
      <w:proofErr w:type="spellStart"/>
      <w:r w:rsidRPr="00F40950">
        <w:t>Habicht</w:t>
      </w:r>
      <w:proofErr w:type="spellEnd"/>
      <w:r>
        <w:t>,</w:t>
      </w:r>
      <w:r w:rsidRPr="00F40950">
        <w:t xml:space="preserve"> </w:t>
      </w:r>
      <w:r w:rsidR="0076301D" w:rsidRPr="00F40950">
        <w:t>Christian</w:t>
      </w:r>
      <w:r>
        <w:t>.</w:t>
      </w:r>
      <w:r w:rsidR="0076301D" w:rsidRPr="00F40950">
        <w:t xml:space="preserve"> </w:t>
      </w:r>
      <w:r w:rsidR="0076301D" w:rsidRPr="00F40950">
        <w:rPr>
          <w:i/>
        </w:rPr>
        <w:t>Divine Honors for Mortal Men</w:t>
      </w:r>
      <w:r w:rsidR="001270D9">
        <w:rPr>
          <w:i/>
        </w:rPr>
        <w:t xml:space="preserve"> in Greek Cities</w:t>
      </w:r>
      <w:r w:rsidR="0076301D" w:rsidRPr="00F40950">
        <w:t xml:space="preserve"> </w:t>
      </w:r>
      <w:r w:rsidR="0076301D">
        <w:t>(</w:t>
      </w:r>
      <w:r w:rsidR="0076301D" w:rsidRPr="00F40950">
        <w:t>Michigan Classical Press, 2017</w:t>
      </w:r>
      <w:r w:rsidR="0076301D">
        <w:t>)</w:t>
      </w:r>
      <w:r w:rsidR="0076301D" w:rsidRPr="00F40950">
        <w:t>.</w:t>
      </w:r>
      <w:r w:rsidR="0076301D">
        <w:t xml:space="preserve"> </w:t>
      </w:r>
      <w:r w:rsidR="0076301D" w:rsidRPr="00BB2AC0">
        <w:rPr>
          <w:lang w:val="de-DE"/>
        </w:rPr>
        <w:t xml:space="preserve">Translation of </w:t>
      </w:r>
      <w:r w:rsidR="0076301D" w:rsidRPr="00F40950">
        <w:rPr>
          <w:i/>
          <w:lang w:val="de-DE"/>
        </w:rPr>
        <w:t>Gottmenschentum und griechische Städte</w:t>
      </w:r>
      <w:r w:rsidR="0076301D" w:rsidRPr="00BB2AC0">
        <w:rPr>
          <w:lang w:val="de-DE"/>
        </w:rPr>
        <w:t>, 2nd ed. (1970)</w:t>
      </w:r>
      <w:r w:rsidRPr="00BB2AC0">
        <w:rPr>
          <w:lang w:val="de-DE"/>
        </w:rPr>
        <w:t>.]</w:t>
      </w:r>
      <w:r w:rsidR="001270D9">
        <w:rPr>
          <w:lang w:val="de-DE"/>
        </w:rPr>
        <w:br/>
      </w:r>
      <w:hyperlink r:id="rId8" w:history="1">
        <w:r w:rsidR="001270D9" w:rsidRPr="00FD31FF">
          <w:rPr>
            <w:rStyle w:val="Hyperlink"/>
            <w:lang w:val="de-DE"/>
          </w:rPr>
          <w:t>http://michiganclassicalpress.com/</w:t>
        </w:r>
      </w:hyperlink>
      <w:r w:rsidR="001270D9">
        <w:rPr>
          <w:lang w:val="de-DE"/>
        </w:rPr>
        <w:t xml:space="preserve"> </w:t>
      </w:r>
    </w:p>
    <w:p w14:paraId="2B1854B5" w14:textId="11843326" w:rsidR="0078372F" w:rsidRPr="00BB2AC0" w:rsidRDefault="0076301D" w:rsidP="0076301D">
      <w:pPr>
        <w:spacing w:line="360" w:lineRule="auto"/>
        <w:ind w:left="270" w:hanging="270"/>
        <w:rPr>
          <w:b/>
          <w:bCs/>
          <w:iCs/>
          <w:lang w:val="de-DE"/>
        </w:rPr>
      </w:pPr>
      <w:r w:rsidRPr="00BB2AC0">
        <w:rPr>
          <w:b/>
          <w:bCs/>
          <w:iCs/>
          <w:lang w:val="de-DE"/>
        </w:rPr>
        <w:t>Editor</w:t>
      </w:r>
    </w:p>
    <w:p w14:paraId="26002A92" w14:textId="4223120C" w:rsidR="003A2BC6" w:rsidRPr="003A2BC6" w:rsidRDefault="003A2BC6" w:rsidP="003A2BC6">
      <w:pPr>
        <w:spacing w:line="360" w:lineRule="auto"/>
        <w:ind w:left="540" w:hanging="270"/>
        <w:rPr>
          <w:iCs/>
        </w:rPr>
      </w:pPr>
      <w:r w:rsidRPr="00BB2AC0">
        <w:rPr>
          <w:iCs/>
          <w:lang w:val="de-DE"/>
        </w:rPr>
        <w:t xml:space="preserve">Friedrich, Markus. </w:t>
      </w:r>
      <w:r w:rsidRPr="003A2BC6">
        <w:rPr>
          <w:i/>
        </w:rPr>
        <w:t>The Maker of Pedigrees</w:t>
      </w:r>
      <w:r>
        <w:rPr>
          <w:i/>
        </w:rPr>
        <w:t xml:space="preserve">: </w:t>
      </w:r>
      <w:r w:rsidRPr="003A2BC6">
        <w:rPr>
          <w:i/>
        </w:rPr>
        <w:t xml:space="preserve">Jakob Wilhelm Imhoff (1651–1728) and </w:t>
      </w:r>
      <w:r>
        <w:rPr>
          <w:i/>
        </w:rPr>
        <w:t xml:space="preserve">the Rise of </w:t>
      </w:r>
      <w:r w:rsidRPr="003A2BC6">
        <w:rPr>
          <w:i/>
        </w:rPr>
        <w:t>Genealogy in Early Modern Europe</w:t>
      </w:r>
      <w:r>
        <w:rPr>
          <w:iCs/>
        </w:rPr>
        <w:t>. Johns Hopkins University Press, forthcoming.</w:t>
      </w:r>
    </w:p>
    <w:p w14:paraId="5F766191" w14:textId="1F7738BD" w:rsidR="0078372F" w:rsidRPr="00F40950" w:rsidRDefault="0078372F" w:rsidP="008723FF">
      <w:pPr>
        <w:spacing w:line="360" w:lineRule="auto"/>
        <w:ind w:left="540" w:hanging="270"/>
        <w:rPr>
          <w:iCs/>
        </w:rPr>
      </w:pPr>
      <w:r w:rsidRPr="00F40950">
        <w:rPr>
          <w:i/>
        </w:rPr>
        <w:t>Brill’s New Pauly Supplements II, Volume 9: The Early Mediterranean World, 1200–600 BC</w:t>
      </w:r>
      <w:r w:rsidR="003A2BC6">
        <w:rPr>
          <w:iCs/>
        </w:rPr>
        <w:t>.</w:t>
      </w:r>
      <w:r w:rsidRPr="00F40950">
        <w:rPr>
          <w:iCs/>
        </w:rPr>
        <w:t xml:space="preserve"> </w:t>
      </w:r>
      <w:r w:rsidR="003A2BC6">
        <w:rPr>
          <w:iCs/>
        </w:rPr>
        <w:t>T</w:t>
      </w:r>
      <w:r w:rsidRPr="00F40950">
        <w:rPr>
          <w:iCs/>
        </w:rPr>
        <w:t>rans</w:t>
      </w:r>
      <w:r w:rsidR="00BB567C" w:rsidRPr="00F40950">
        <w:rPr>
          <w:iCs/>
        </w:rPr>
        <w:t>.</w:t>
      </w:r>
      <w:r w:rsidRPr="00F40950">
        <w:rPr>
          <w:iCs/>
        </w:rPr>
        <w:t xml:space="preserve"> Duncan A. Smart</w:t>
      </w:r>
      <w:r w:rsidR="003A2BC6">
        <w:rPr>
          <w:iCs/>
        </w:rPr>
        <w:t xml:space="preserve">. </w:t>
      </w:r>
      <w:r w:rsidRPr="00F40950">
        <w:rPr>
          <w:iCs/>
        </w:rPr>
        <w:t>Brill</w:t>
      </w:r>
      <w:r w:rsidR="003A2BC6">
        <w:rPr>
          <w:iCs/>
        </w:rPr>
        <w:t>,</w:t>
      </w:r>
      <w:r w:rsidRPr="00F40950">
        <w:rPr>
          <w:iCs/>
        </w:rPr>
        <w:t xml:space="preserve"> 2018</w:t>
      </w:r>
      <w:r w:rsidR="003A2BC6">
        <w:rPr>
          <w:iCs/>
        </w:rPr>
        <w:t>.</w:t>
      </w:r>
      <w:r w:rsidR="00F9735B">
        <w:rPr>
          <w:iCs/>
        </w:rPr>
        <w:t xml:space="preserve"> </w:t>
      </w:r>
      <w:hyperlink r:id="rId9" w:history="1">
        <w:r w:rsidR="00F9735B" w:rsidRPr="00315C35">
          <w:rPr>
            <w:rStyle w:val="Hyperlink"/>
            <w:iCs/>
          </w:rPr>
          <w:t>https://referenceworks.brillonline.com/browse/brill-s-new-pauly-supplements-ii-9</w:t>
        </w:r>
      </w:hyperlink>
      <w:r w:rsidR="00F9735B">
        <w:rPr>
          <w:iCs/>
        </w:rPr>
        <w:t xml:space="preserve"> </w:t>
      </w:r>
    </w:p>
    <w:p w14:paraId="5B89F242" w14:textId="51F15EAA" w:rsidR="00BB567C" w:rsidRPr="00F40950" w:rsidRDefault="00BB567C" w:rsidP="008723FF">
      <w:pPr>
        <w:spacing w:after="120" w:line="360" w:lineRule="auto"/>
        <w:ind w:left="548" w:hanging="274"/>
        <w:rPr>
          <w:iCs/>
        </w:rPr>
      </w:pPr>
      <w:r w:rsidRPr="00F40950">
        <w:rPr>
          <w:i/>
        </w:rPr>
        <w:lastRenderedPageBreak/>
        <w:t>Brill’s New Pauly Supplements II, Volume 10: History and Culture of Byzantium</w:t>
      </w:r>
      <w:r w:rsidR="00F9735B">
        <w:rPr>
          <w:iCs/>
        </w:rPr>
        <w:t>.</w:t>
      </w:r>
      <w:r w:rsidRPr="00F40950">
        <w:rPr>
          <w:iCs/>
        </w:rPr>
        <w:t xml:space="preserve"> </w:t>
      </w:r>
      <w:r w:rsidR="00F9735B">
        <w:rPr>
          <w:iCs/>
        </w:rPr>
        <w:t>T</w:t>
      </w:r>
      <w:r w:rsidRPr="00F40950">
        <w:rPr>
          <w:iCs/>
        </w:rPr>
        <w:t>rans. Duncan A. Smart</w:t>
      </w:r>
      <w:r w:rsidR="00F9735B">
        <w:rPr>
          <w:iCs/>
        </w:rPr>
        <w:t>.</w:t>
      </w:r>
      <w:r w:rsidRPr="00F40950">
        <w:rPr>
          <w:iCs/>
        </w:rPr>
        <w:t xml:space="preserve"> Brill</w:t>
      </w:r>
      <w:r w:rsidR="00614B12">
        <w:rPr>
          <w:iCs/>
        </w:rPr>
        <w:t>,</w:t>
      </w:r>
      <w:r w:rsidRPr="00F40950">
        <w:rPr>
          <w:iCs/>
        </w:rPr>
        <w:t xml:space="preserve"> </w:t>
      </w:r>
      <w:r w:rsidR="00F9735B">
        <w:rPr>
          <w:iCs/>
        </w:rPr>
        <w:t xml:space="preserve">2019. </w:t>
      </w:r>
      <w:hyperlink r:id="rId10" w:history="1">
        <w:r w:rsidR="00F9735B" w:rsidRPr="00315C35">
          <w:rPr>
            <w:rStyle w:val="Hyperlink"/>
            <w:iCs/>
          </w:rPr>
          <w:t>https://referenceworks.brillonline.com/browse/brill-s-new-pauly-supplements-ii-10</w:t>
        </w:r>
      </w:hyperlink>
      <w:r w:rsidR="00F9735B">
        <w:rPr>
          <w:iCs/>
        </w:rPr>
        <w:t xml:space="preserve"> </w:t>
      </w:r>
    </w:p>
    <w:p w14:paraId="561FAE1C" w14:textId="333406D0" w:rsidR="00981583" w:rsidRPr="00F40950" w:rsidRDefault="00981583" w:rsidP="008723FF">
      <w:pPr>
        <w:pStyle w:val="Heading1"/>
        <w:spacing w:line="360" w:lineRule="auto"/>
        <w:rPr>
          <w:rFonts w:ascii="Times New Roman" w:hAnsi="Times New Roman" w:cs="Times New Roman"/>
        </w:rPr>
      </w:pPr>
      <w:r w:rsidRPr="00F40950">
        <w:rPr>
          <w:rFonts w:ascii="Times New Roman" w:hAnsi="Times New Roman" w:cs="Times New Roman"/>
        </w:rPr>
        <w:t xml:space="preserve">Articles and </w:t>
      </w:r>
      <w:r w:rsidR="00E462E8">
        <w:rPr>
          <w:rFonts w:ascii="Times New Roman" w:hAnsi="Times New Roman" w:cs="Times New Roman"/>
        </w:rPr>
        <w:t>c</w:t>
      </w:r>
      <w:r w:rsidRPr="00F40950">
        <w:rPr>
          <w:rFonts w:ascii="Times New Roman" w:hAnsi="Times New Roman" w:cs="Times New Roman"/>
        </w:rPr>
        <w:t>hapters</w:t>
      </w:r>
    </w:p>
    <w:p w14:paraId="186743BD" w14:textId="4F95CF2E" w:rsidR="009D5899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“The Emperor’s New Prose: The Style of Diocletian’s Legislation</w:t>
      </w:r>
      <w:r w:rsidR="00E462E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="00E462E8">
        <w:rPr>
          <w:bCs/>
          <w:iCs/>
          <w:sz w:val="24"/>
        </w:rPr>
        <w:t>I</w:t>
      </w:r>
      <w:r w:rsidR="000D3101" w:rsidRPr="00F40950">
        <w:rPr>
          <w:bCs/>
          <w:iCs/>
          <w:sz w:val="24"/>
        </w:rPr>
        <w:t xml:space="preserve">n </w:t>
      </w:r>
      <w:proofErr w:type="spellStart"/>
      <w:r w:rsidR="000D3101" w:rsidRPr="00F40950">
        <w:rPr>
          <w:bCs/>
          <w:i/>
          <w:sz w:val="24"/>
        </w:rPr>
        <w:t>Diocleziano</w:t>
      </w:r>
      <w:proofErr w:type="spellEnd"/>
      <w:r w:rsidR="000D3101" w:rsidRPr="00F40950">
        <w:rPr>
          <w:bCs/>
          <w:i/>
          <w:sz w:val="24"/>
        </w:rPr>
        <w:t xml:space="preserve">: la </w:t>
      </w:r>
      <w:proofErr w:type="spellStart"/>
      <w:r w:rsidR="000D3101" w:rsidRPr="00F40950">
        <w:rPr>
          <w:bCs/>
          <w:i/>
          <w:sz w:val="24"/>
        </w:rPr>
        <w:t>frontiera</w:t>
      </w:r>
      <w:proofErr w:type="spellEnd"/>
      <w:r w:rsidR="000D3101" w:rsidRPr="00F40950">
        <w:rPr>
          <w:bCs/>
          <w:i/>
          <w:sz w:val="24"/>
        </w:rPr>
        <w:t xml:space="preserve"> </w:t>
      </w:r>
      <w:proofErr w:type="spellStart"/>
      <w:r w:rsidR="000D3101" w:rsidRPr="00F40950">
        <w:rPr>
          <w:bCs/>
          <w:i/>
          <w:sz w:val="24"/>
        </w:rPr>
        <w:t>giuridica</w:t>
      </w:r>
      <w:proofErr w:type="spellEnd"/>
      <w:r w:rsidR="000D3101" w:rsidRPr="00F40950">
        <w:rPr>
          <w:bCs/>
          <w:i/>
          <w:sz w:val="24"/>
        </w:rPr>
        <w:t xml:space="preserve"> </w:t>
      </w:r>
      <w:proofErr w:type="spellStart"/>
      <w:r w:rsidR="000D3101" w:rsidRPr="00F40950">
        <w:rPr>
          <w:bCs/>
          <w:i/>
          <w:sz w:val="24"/>
        </w:rPr>
        <w:t>dell’imperio</w:t>
      </w:r>
      <w:proofErr w:type="spellEnd"/>
      <w:r w:rsidR="000D3101" w:rsidRPr="00F40950">
        <w:rPr>
          <w:bCs/>
          <w:iCs/>
          <w:sz w:val="24"/>
        </w:rPr>
        <w:t xml:space="preserve">, ed. Werner Eck and Salvatore </w:t>
      </w:r>
      <w:proofErr w:type="spellStart"/>
      <w:r w:rsidR="000D3101" w:rsidRPr="00F40950">
        <w:rPr>
          <w:bCs/>
          <w:iCs/>
          <w:sz w:val="24"/>
        </w:rPr>
        <w:t>Puliatti</w:t>
      </w:r>
      <w:proofErr w:type="spellEnd"/>
      <w:r w:rsidR="00614B12">
        <w:rPr>
          <w:bCs/>
          <w:iCs/>
          <w:sz w:val="24"/>
        </w:rPr>
        <w:t xml:space="preserve">, </w:t>
      </w:r>
      <w:r w:rsidR="00E462E8" w:rsidRPr="00F40950">
        <w:rPr>
          <w:bCs/>
          <w:iCs/>
          <w:sz w:val="24"/>
        </w:rPr>
        <w:t>285–343</w:t>
      </w:r>
      <w:r w:rsidR="00E462E8">
        <w:rPr>
          <w:bCs/>
          <w:iCs/>
          <w:sz w:val="24"/>
        </w:rPr>
        <w:t xml:space="preserve">. </w:t>
      </w:r>
      <w:proofErr w:type="spellStart"/>
      <w:r w:rsidR="00614B12" w:rsidRPr="00F40950">
        <w:rPr>
          <w:bCs/>
          <w:iCs/>
          <w:sz w:val="24"/>
        </w:rPr>
        <w:t>Pubblicazioni</w:t>
      </w:r>
      <w:proofErr w:type="spellEnd"/>
      <w:r w:rsidR="00614B12" w:rsidRPr="00F40950">
        <w:rPr>
          <w:bCs/>
          <w:iCs/>
          <w:sz w:val="24"/>
        </w:rPr>
        <w:t xml:space="preserve"> del CEDANT</w:t>
      </w:r>
      <w:r w:rsidR="00E462E8">
        <w:rPr>
          <w:bCs/>
          <w:iCs/>
          <w:sz w:val="24"/>
        </w:rPr>
        <w:t>,</w:t>
      </w:r>
      <w:r w:rsidR="00614B12" w:rsidRPr="00F40950">
        <w:rPr>
          <w:bCs/>
          <w:iCs/>
          <w:sz w:val="24"/>
        </w:rPr>
        <w:t xml:space="preserve"> 16</w:t>
      </w:r>
      <w:r w:rsidR="00E462E8">
        <w:rPr>
          <w:bCs/>
          <w:iCs/>
          <w:sz w:val="24"/>
        </w:rPr>
        <w:t>.</w:t>
      </w:r>
      <w:r w:rsidR="00614B12">
        <w:rPr>
          <w:bCs/>
          <w:iCs/>
          <w:sz w:val="24"/>
        </w:rPr>
        <w:t xml:space="preserve"> </w:t>
      </w:r>
      <w:r w:rsidR="00614B12" w:rsidRPr="00F40950">
        <w:rPr>
          <w:bCs/>
          <w:iCs/>
          <w:sz w:val="24"/>
        </w:rPr>
        <w:t>Pavia University Press, 2018</w:t>
      </w:r>
      <w:r w:rsidR="00E462E8">
        <w:rPr>
          <w:bCs/>
          <w:iCs/>
          <w:sz w:val="24"/>
        </w:rPr>
        <w:t>.</w:t>
      </w:r>
    </w:p>
    <w:p w14:paraId="4C9E5BC9" w14:textId="50A7C74E" w:rsidR="00D45569" w:rsidRPr="00F40950" w:rsidRDefault="00D45569" w:rsidP="008723FF">
      <w:pPr>
        <w:pStyle w:val="BodyTextIndent2"/>
        <w:tabs>
          <w:tab w:val="left" w:pos="540"/>
        </w:tabs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sz w:val="24"/>
        </w:rPr>
        <w:t xml:space="preserve">“Roman and Non-Roman Religious Spaces in Cicero’s Second </w:t>
      </w:r>
      <w:proofErr w:type="spellStart"/>
      <w:r w:rsidRPr="00F40950">
        <w:rPr>
          <w:sz w:val="24"/>
        </w:rPr>
        <w:t>Verrine</w:t>
      </w:r>
      <w:proofErr w:type="spellEnd"/>
      <w:r w:rsidRPr="00F40950">
        <w:rPr>
          <w:sz w:val="24"/>
        </w:rPr>
        <w:t xml:space="preserve"> Oration</w:t>
      </w:r>
      <w:r w:rsidR="00E462E8">
        <w:rPr>
          <w:sz w:val="24"/>
        </w:rPr>
        <w:t>.</w:t>
      </w:r>
      <w:r w:rsidRPr="00F40950">
        <w:rPr>
          <w:sz w:val="24"/>
        </w:rPr>
        <w:t xml:space="preserve">” </w:t>
      </w:r>
      <w:r w:rsidR="00E462E8" w:rsidRPr="00BB2AC0">
        <w:rPr>
          <w:sz w:val="24"/>
          <w:lang w:val="de-DE"/>
        </w:rPr>
        <w:t>I</w:t>
      </w:r>
      <w:r w:rsidRPr="00BB2AC0">
        <w:rPr>
          <w:sz w:val="24"/>
          <w:lang w:val="de-DE"/>
        </w:rPr>
        <w:t xml:space="preserve">n </w:t>
      </w:r>
      <w:r w:rsidRPr="00BB2AC0">
        <w:rPr>
          <w:i/>
          <w:sz w:val="24"/>
          <w:lang w:val="de-DE"/>
        </w:rPr>
        <w:t>Raum-Ordnung: Raum und soziopolitische Ordnungen im Altertum</w:t>
      </w:r>
      <w:r w:rsidRPr="00BB2AC0">
        <w:rPr>
          <w:sz w:val="24"/>
          <w:lang w:val="de-DE"/>
        </w:rPr>
        <w:t>,</w:t>
      </w:r>
      <w:r w:rsidRPr="00BB2AC0">
        <w:rPr>
          <w:i/>
          <w:sz w:val="24"/>
          <w:lang w:val="de-DE"/>
        </w:rPr>
        <w:t xml:space="preserve"> </w:t>
      </w:r>
      <w:r w:rsidRPr="00F40950">
        <w:rPr>
          <w:sz w:val="24"/>
          <w:lang w:val="de-DE"/>
        </w:rPr>
        <w:t xml:space="preserve">ed. </w:t>
      </w:r>
      <w:r w:rsidRPr="00BB2AC0">
        <w:rPr>
          <w:sz w:val="24"/>
        </w:rPr>
        <w:t>Sebastian Schmidt-</w:t>
      </w:r>
      <w:proofErr w:type="spellStart"/>
      <w:r w:rsidRPr="00BB2AC0">
        <w:rPr>
          <w:sz w:val="24"/>
        </w:rPr>
        <w:t>Hofner</w:t>
      </w:r>
      <w:proofErr w:type="spellEnd"/>
      <w:r w:rsidRPr="00BB2AC0">
        <w:rPr>
          <w:sz w:val="24"/>
        </w:rPr>
        <w:t>, Claus Amb</w:t>
      </w:r>
      <w:r w:rsidR="0076301D" w:rsidRPr="00BB2AC0">
        <w:rPr>
          <w:sz w:val="24"/>
        </w:rPr>
        <w:t>o</w:t>
      </w:r>
      <w:r w:rsidRPr="00BB2AC0">
        <w:rPr>
          <w:sz w:val="24"/>
        </w:rPr>
        <w:t xml:space="preserve">s, and Peter </w:t>
      </w:r>
      <w:proofErr w:type="spellStart"/>
      <w:r w:rsidRPr="00BB2AC0">
        <w:rPr>
          <w:sz w:val="24"/>
        </w:rPr>
        <w:t>Eich</w:t>
      </w:r>
      <w:proofErr w:type="spellEnd"/>
      <w:r w:rsidR="00E462E8" w:rsidRPr="00BB2AC0">
        <w:rPr>
          <w:sz w:val="24"/>
        </w:rPr>
        <w:t>,</w:t>
      </w:r>
      <w:r w:rsidR="00E462E8" w:rsidRPr="00E462E8">
        <w:rPr>
          <w:sz w:val="24"/>
        </w:rPr>
        <w:t xml:space="preserve"> </w:t>
      </w:r>
      <w:r w:rsidR="00E462E8" w:rsidRPr="00F40950">
        <w:rPr>
          <w:sz w:val="24"/>
        </w:rPr>
        <w:t>251</w:t>
      </w:r>
      <w:r w:rsidR="007A2EA8" w:rsidRPr="00F40950">
        <w:rPr>
          <w:bCs/>
          <w:iCs/>
          <w:sz w:val="24"/>
        </w:rPr>
        <w:t>–</w:t>
      </w:r>
      <w:r w:rsidR="00E462E8" w:rsidRPr="00F40950">
        <w:rPr>
          <w:sz w:val="24"/>
        </w:rPr>
        <w:t>270</w:t>
      </w:r>
      <w:r w:rsidR="00E462E8">
        <w:rPr>
          <w:sz w:val="24"/>
        </w:rPr>
        <w:t>.</w:t>
      </w:r>
      <w:r w:rsidR="008007B4" w:rsidRPr="00BB2AC0">
        <w:rPr>
          <w:sz w:val="24"/>
        </w:rPr>
        <w:t xml:space="preserve"> (</w:t>
      </w:r>
      <w:r w:rsidR="008007B4" w:rsidRPr="00F40950">
        <w:rPr>
          <w:sz w:val="24"/>
        </w:rPr>
        <w:t>Win</w:t>
      </w:r>
      <w:r w:rsidR="008007B4">
        <w:rPr>
          <w:sz w:val="24"/>
        </w:rPr>
        <w:t>t</w:t>
      </w:r>
      <w:r w:rsidR="008007B4" w:rsidRPr="00F40950">
        <w:rPr>
          <w:sz w:val="24"/>
        </w:rPr>
        <w:t>er, 2016</w:t>
      </w:r>
      <w:r w:rsidR="008007B4">
        <w:rPr>
          <w:sz w:val="24"/>
        </w:rPr>
        <w:t>)</w:t>
      </w:r>
      <w:r w:rsidR="00E462E8" w:rsidRPr="00BB2AC0">
        <w:rPr>
          <w:sz w:val="24"/>
        </w:rPr>
        <w:t>.</w:t>
      </w:r>
    </w:p>
    <w:p w14:paraId="72341BB6" w14:textId="737AC929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“Conjectures and Criticism in Book I of the Codex Justinianus</w:t>
      </w:r>
      <w:r w:rsidR="00E462E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Pr="00F40950">
        <w:rPr>
          <w:bCs/>
          <w:i/>
          <w:sz w:val="24"/>
        </w:rPr>
        <w:t>Classica</w:t>
      </w:r>
      <w:r w:rsidR="00D45569" w:rsidRPr="00F40950">
        <w:rPr>
          <w:bCs/>
          <w:i/>
          <w:sz w:val="24"/>
        </w:rPr>
        <w:t>l Quarterly</w:t>
      </w:r>
      <w:r w:rsidR="00D45569" w:rsidRPr="00F40950">
        <w:rPr>
          <w:bCs/>
          <w:iCs/>
          <w:sz w:val="24"/>
        </w:rPr>
        <w:t xml:space="preserve"> 65.1 (2015): 321–</w:t>
      </w:r>
      <w:r w:rsidR="00E462E8">
        <w:rPr>
          <w:bCs/>
          <w:iCs/>
          <w:sz w:val="24"/>
        </w:rPr>
        <w:t>3</w:t>
      </w:r>
      <w:r w:rsidR="00D45569" w:rsidRPr="00F40950">
        <w:rPr>
          <w:bCs/>
          <w:iCs/>
          <w:sz w:val="24"/>
        </w:rPr>
        <w:t>43</w:t>
      </w:r>
      <w:r w:rsidR="00F9735B">
        <w:rPr>
          <w:bCs/>
          <w:iCs/>
          <w:sz w:val="24"/>
        </w:rPr>
        <w:t>.</w:t>
      </w:r>
    </w:p>
    <w:p w14:paraId="54181252" w14:textId="6422332C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“Causa 3</w:t>
      </w:r>
      <w:r w:rsidR="00E462E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="00E462E8">
        <w:rPr>
          <w:bCs/>
          <w:iCs/>
          <w:sz w:val="24"/>
        </w:rPr>
        <w:t>E</w:t>
      </w:r>
      <w:r w:rsidRPr="00F40950">
        <w:rPr>
          <w:bCs/>
          <w:iCs/>
          <w:sz w:val="24"/>
        </w:rPr>
        <w:t xml:space="preserve">dition incorporated in the forthcoming </w:t>
      </w:r>
      <w:proofErr w:type="spellStart"/>
      <w:r w:rsidRPr="00F40950">
        <w:rPr>
          <w:bCs/>
          <w:i/>
          <w:sz w:val="24"/>
        </w:rPr>
        <w:t>Decretum</w:t>
      </w:r>
      <w:proofErr w:type="spellEnd"/>
      <w:r w:rsidRPr="00F40950">
        <w:rPr>
          <w:bCs/>
          <w:i/>
          <w:sz w:val="24"/>
        </w:rPr>
        <w:t xml:space="preserve"> </w:t>
      </w:r>
      <w:proofErr w:type="spellStart"/>
      <w:r w:rsidRPr="00F40950">
        <w:rPr>
          <w:bCs/>
          <w:i/>
          <w:sz w:val="24"/>
        </w:rPr>
        <w:t>Gratiani</w:t>
      </w:r>
      <w:proofErr w:type="spellEnd"/>
      <w:r w:rsidRPr="00F40950">
        <w:rPr>
          <w:bCs/>
          <w:i/>
          <w:sz w:val="24"/>
        </w:rPr>
        <w:t>, First Recension</w:t>
      </w:r>
      <w:r w:rsidRPr="00F40950">
        <w:rPr>
          <w:bCs/>
          <w:iCs/>
          <w:sz w:val="24"/>
        </w:rPr>
        <w:t xml:space="preserve">, ed. Anders </w:t>
      </w:r>
      <w:proofErr w:type="spellStart"/>
      <w:r w:rsidRPr="00F40950">
        <w:rPr>
          <w:bCs/>
          <w:iCs/>
          <w:sz w:val="24"/>
        </w:rPr>
        <w:t>Winroth</w:t>
      </w:r>
      <w:proofErr w:type="spellEnd"/>
      <w:r w:rsidR="00E462E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</w:t>
      </w:r>
      <w:r w:rsidR="00E462E8">
        <w:rPr>
          <w:bCs/>
          <w:iCs/>
          <w:sz w:val="24"/>
        </w:rPr>
        <w:t>A</w:t>
      </w:r>
      <w:r w:rsidRPr="00F40950">
        <w:rPr>
          <w:bCs/>
          <w:iCs/>
          <w:sz w:val="24"/>
        </w:rPr>
        <w:t xml:space="preserve">vailable online at </w:t>
      </w:r>
      <w:hyperlink r:id="rId11" w:history="1">
        <w:r w:rsidR="00D45569" w:rsidRPr="00F40950">
          <w:rPr>
            <w:rStyle w:val="Hyperlink"/>
            <w:sz w:val="24"/>
          </w:rPr>
          <w:t>https://sites.google.com/a/yale.edu/decretumgratiani/</w:t>
        </w:r>
      </w:hyperlink>
      <w:r w:rsidRPr="00F40950">
        <w:rPr>
          <w:bCs/>
          <w:iCs/>
          <w:sz w:val="24"/>
        </w:rPr>
        <w:t xml:space="preserve"> (</w:t>
      </w:r>
      <w:r w:rsidR="00E462E8">
        <w:rPr>
          <w:bCs/>
          <w:iCs/>
          <w:sz w:val="24"/>
        </w:rPr>
        <w:t>P</w:t>
      </w:r>
      <w:r w:rsidRPr="00F40950">
        <w:rPr>
          <w:bCs/>
          <w:iCs/>
          <w:sz w:val="24"/>
        </w:rPr>
        <w:t>. 302</w:t>
      </w:r>
      <w:r w:rsidR="00D45569" w:rsidRPr="00F40950">
        <w:rPr>
          <w:bCs/>
          <w:iCs/>
          <w:sz w:val="24"/>
        </w:rPr>
        <w:t>-328 in the 10/17/2015 version)</w:t>
      </w:r>
      <w:r w:rsidR="00E462E8">
        <w:rPr>
          <w:bCs/>
          <w:iCs/>
          <w:sz w:val="24"/>
        </w:rPr>
        <w:t>.</w:t>
      </w:r>
    </w:p>
    <w:p w14:paraId="3A83C1B6" w14:textId="01939F68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“Trojan Religion: Foreign Sanctuaries and the Limits of Roman Religious Exclusivity</w:t>
      </w:r>
      <w:r w:rsidR="00E462E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="00E462E8">
        <w:rPr>
          <w:bCs/>
          <w:iCs/>
          <w:sz w:val="24"/>
        </w:rPr>
        <w:t>I</w:t>
      </w:r>
      <w:r w:rsidRPr="00F40950">
        <w:rPr>
          <w:bCs/>
          <w:iCs/>
          <w:sz w:val="24"/>
        </w:rPr>
        <w:t xml:space="preserve">n </w:t>
      </w:r>
      <w:proofErr w:type="gramStart"/>
      <w:r w:rsidRPr="00F40950">
        <w:rPr>
          <w:bCs/>
          <w:i/>
          <w:sz w:val="24"/>
        </w:rPr>
        <w:t>The</w:t>
      </w:r>
      <w:proofErr w:type="gramEnd"/>
      <w:r w:rsidRPr="00F40950">
        <w:rPr>
          <w:bCs/>
          <w:i/>
          <w:sz w:val="24"/>
        </w:rPr>
        <w:t xml:space="preserve"> Impact of Rome on Cult Places and Religion in Italy: New Approaches to Change and Continuity</w:t>
      </w:r>
      <w:r w:rsidR="00E462E8">
        <w:rPr>
          <w:bCs/>
          <w:i/>
          <w:sz w:val="24"/>
        </w:rPr>
        <w:t>;</w:t>
      </w:r>
      <w:r w:rsidRPr="00F40950">
        <w:rPr>
          <w:bCs/>
          <w:i/>
          <w:sz w:val="24"/>
        </w:rPr>
        <w:t xml:space="preserve"> Proceedings of the Workshop at the Royal Netherlands Institute at Rome, Rome, May 21, 2010</w:t>
      </w:r>
      <w:r w:rsidRPr="00F40950">
        <w:rPr>
          <w:bCs/>
          <w:iCs/>
          <w:sz w:val="24"/>
        </w:rPr>
        <w:t xml:space="preserve">, ed. </w:t>
      </w:r>
      <w:proofErr w:type="spellStart"/>
      <w:r w:rsidRPr="00F40950">
        <w:rPr>
          <w:bCs/>
          <w:iCs/>
          <w:sz w:val="24"/>
        </w:rPr>
        <w:t>Tesse</w:t>
      </w:r>
      <w:proofErr w:type="spellEnd"/>
      <w:r w:rsidRPr="00F40950">
        <w:rPr>
          <w:bCs/>
          <w:iCs/>
          <w:sz w:val="24"/>
        </w:rPr>
        <w:t xml:space="preserve"> </w:t>
      </w:r>
      <w:proofErr w:type="spellStart"/>
      <w:r w:rsidRPr="00F40950">
        <w:rPr>
          <w:bCs/>
          <w:iCs/>
          <w:sz w:val="24"/>
        </w:rPr>
        <w:t>Stek</w:t>
      </w:r>
      <w:proofErr w:type="spellEnd"/>
      <w:r w:rsidRPr="00F40950">
        <w:rPr>
          <w:bCs/>
          <w:iCs/>
          <w:sz w:val="24"/>
        </w:rPr>
        <w:t xml:space="preserve"> and Gert-Jan Burgers</w:t>
      </w:r>
      <w:r w:rsidR="00E462E8">
        <w:rPr>
          <w:bCs/>
          <w:iCs/>
          <w:sz w:val="24"/>
        </w:rPr>
        <w:t>,</w:t>
      </w:r>
      <w:r w:rsidR="00E462E8" w:rsidRPr="00E462E8">
        <w:rPr>
          <w:bCs/>
          <w:iCs/>
          <w:sz w:val="24"/>
        </w:rPr>
        <w:t xml:space="preserve"> </w:t>
      </w:r>
      <w:r w:rsidR="00E462E8" w:rsidRPr="00F40950">
        <w:rPr>
          <w:bCs/>
          <w:iCs/>
          <w:sz w:val="24"/>
        </w:rPr>
        <w:t>113–</w:t>
      </w:r>
      <w:r w:rsidR="00E462E8">
        <w:rPr>
          <w:bCs/>
          <w:iCs/>
          <w:sz w:val="24"/>
        </w:rPr>
        <w:t>1</w:t>
      </w:r>
      <w:r w:rsidR="00E462E8" w:rsidRPr="00F40950">
        <w:rPr>
          <w:bCs/>
          <w:iCs/>
          <w:sz w:val="24"/>
        </w:rPr>
        <w:t>43</w:t>
      </w:r>
      <w:r w:rsidR="00E462E8">
        <w:rPr>
          <w:bCs/>
          <w:iCs/>
          <w:sz w:val="24"/>
        </w:rPr>
        <w:t>.</w:t>
      </w:r>
      <w:r w:rsidR="008007B4" w:rsidRPr="008007B4">
        <w:rPr>
          <w:bCs/>
          <w:iCs/>
          <w:sz w:val="24"/>
        </w:rPr>
        <w:t xml:space="preserve"> </w:t>
      </w:r>
      <w:r w:rsidR="008007B4" w:rsidRPr="00F40950">
        <w:rPr>
          <w:bCs/>
          <w:iCs/>
          <w:sz w:val="24"/>
        </w:rPr>
        <w:t>BICS Supplements</w:t>
      </w:r>
      <w:r w:rsidR="00E462E8">
        <w:rPr>
          <w:bCs/>
          <w:iCs/>
          <w:sz w:val="24"/>
        </w:rPr>
        <w:t>.</w:t>
      </w:r>
      <w:r w:rsidR="008007B4">
        <w:rPr>
          <w:bCs/>
          <w:iCs/>
          <w:sz w:val="24"/>
        </w:rPr>
        <w:t xml:space="preserve"> </w:t>
      </w:r>
      <w:r w:rsidR="008007B4" w:rsidRPr="00F40950">
        <w:rPr>
          <w:bCs/>
          <w:iCs/>
          <w:sz w:val="24"/>
        </w:rPr>
        <w:t>Institute of Classical Studies, 2014</w:t>
      </w:r>
      <w:r w:rsidR="00E462E8">
        <w:rPr>
          <w:bCs/>
          <w:iCs/>
          <w:sz w:val="24"/>
        </w:rPr>
        <w:t>.</w:t>
      </w:r>
    </w:p>
    <w:p w14:paraId="6BAB2880" w14:textId="2CE248DE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“The Inflation of Rank and Privilege in the Later Roman Empire: Regulating Precedence in the Fourth Century A.D</w:t>
      </w:r>
      <w:r w:rsidR="008007B4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="00E462E8">
        <w:rPr>
          <w:bCs/>
          <w:iCs/>
          <w:sz w:val="24"/>
        </w:rPr>
        <w:t>I</w:t>
      </w:r>
      <w:r w:rsidRPr="00F40950">
        <w:rPr>
          <w:bCs/>
          <w:iCs/>
          <w:sz w:val="24"/>
        </w:rPr>
        <w:t xml:space="preserve">n </w:t>
      </w:r>
      <w:r w:rsidRPr="00F40950">
        <w:rPr>
          <w:bCs/>
          <w:i/>
          <w:sz w:val="24"/>
        </w:rPr>
        <w:t>Contested Monarchy: Integrating the Roman Empire in the 4th Century AD</w:t>
      </w:r>
      <w:r w:rsidRPr="00F40950">
        <w:rPr>
          <w:bCs/>
          <w:iCs/>
          <w:sz w:val="24"/>
        </w:rPr>
        <w:t xml:space="preserve">, ed. Johannes </w:t>
      </w:r>
      <w:proofErr w:type="spellStart"/>
      <w:r w:rsidRPr="00F40950">
        <w:rPr>
          <w:bCs/>
          <w:iCs/>
          <w:sz w:val="24"/>
        </w:rPr>
        <w:t>Wienand</w:t>
      </w:r>
      <w:proofErr w:type="spellEnd"/>
      <w:r w:rsidR="00E462E8">
        <w:rPr>
          <w:bCs/>
          <w:iCs/>
          <w:sz w:val="24"/>
        </w:rPr>
        <w:t>,</w:t>
      </w:r>
      <w:r w:rsidR="00E462E8" w:rsidRPr="00E462E8">
        <w:rPr>
          <w:bCs/>
          <w:iCs/>
          <w:sz w:val="24"/>
        </w:rPr>
        <w:t xml:space="preserve"> </w:t>
      </w:r>
      <w:r w:rsidR="00E462E8" w:rsidRPr="00F40950">
        <w:rPr>
          <w:bCs/>
          <w:iCs/>
          <w:sz w:val="24"/>
        </w:rPr>
        <w:t>42–66</w:t>
      </w:r>
      <w:r w:rsidR="00E462E8">
        <w:rPr>
          <w:bCs/>
          <w:iCs/>
          <w:sz w:val="24"/>
        </w:rPr>
        <w:t>.</w:t>
      </w:r>
      <w:r w:rsidR="008007B4">
        <w:rPr>
          <w:bCs/>
          <w:iCs/>
          <w:sz w:val="24"/>
        </w:rPr>
        <w:t xml:space="preserve"> </w:t>
      </w:r>
      <w:r w:rsidR="008007B4" w:rsidRPr="00F40950">
        <w:rPr>
          <w:bCs/>
          <w:iCs/>
          <w:sz w:val="24"/>
        </w:rPr>
        <w:t>Oxford University Press, 2014</w:t>
      </w:r>
      <w:r w:rsidR="00E462E8">
        <w:rPr>
          <w:bCs/>
          <w:iCs/>
          <w:sz w:val="24"/>
        </w:rPr>
        <w:t>.</w:t>
      </w:r>
    </w:p>
    <w:p w14:paraId="203D97FC" w14:textId="37D0E14A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 xml:space="preserve">“The Delegation of the </w:t>
      </w:r>
      <w:proofErr w:type="spellStart"/>
      <w:r w:rsidRPr="00F40950">
        <w:rPr>
          <w:bCs/>
          <w:iCs/>
          <w:sz w:val="24"/>
        </w:rPr>
        <w:t>Xviri</w:t>
      </w:r>
      <w:proofErr w:type="spellEnd"/>
      <w:r w:rsidRPr="00F40950">
        <w:rPr>
          <w:bCs/>
          <w:iCs/>
          <w:sz w:val="24"/>
        </w:rPr>
        <w:t xml:space="preserve"> to Enna ca. 133 B.C. and the Death of Tiberius Gr</w:t>
      </w:r>
      <w:r w:rsidR="00D45569" w:rsidRPr="00F40950">
        <w:rPr>
          <w:bCs/>
          <w:iCs/>
          <w:sz w:val="24"/>
        </w:rPr>
        <w:t>acchus</w:t>
      </w:r>
      <w:r w:rsidR="00E462E8">
        <w:rPr>
          <w:bCs/>
          <w:iCs/>
          <w:sz w:val="24"/>
        </w:rPr>
        <w:t>.</w:t>
      </w:r>
      <w:r w:rsidR="00D45569" w:rsidRPr="00F40950">
        <w:rPr>
          <w:bCs/>
          <w:iCs/>
          <w:sz w:val="24"/>
        </w:rPr>
        <w:t xml:space="preserve">” </w:t>
      </w:r>
      <w:r w:rsidR="00D45569" w:rsidRPr="00F40950">
        <w:rPr>
          <w:bCs/>
          <w:i/>
          <w:sz w:val="24"/>
        </w:rPr>
        <w:t>BICS</w:t>
      </w:r>
      <w:r w:rsidR="00D45569" w:rsidRPr="00F40950">
        <w:rPr>
          <w:bCs/>
          <w:iCs/>
          <w:sz w:val="24"/>
        </w:rPr>
        <w:t xml:space="preserve"> 56 (2013): 89–103</w:t>
      </w:r>
      <w:r w:rsidR="00E462E8">
        <w:rPr>
          <w:bCs/>
          <w:iCs/>
          <w:sz w:val="24"/>
        </w:rPr>
        <w:t>.</w:t>
      </w:r>
    </w:p>
    <w:p w14:paraId="75FC5E28" w14:textId="10DD53DB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“New and Old-School Poets at the End of the Repub</w:t>
      </w:r>
      <w:r w:rsidR="00D45569" w:rsidRPr="00F40950">
        <w:rPr>
          <w:bCs/>
          <w:iCs/>
          <w:sz w:val="24"/>
        </w:rPr>
        <w:t>lic</w:t>
      </w:r>
      <w:r w:rsidR="00E462E8">
        <w:rPr>
          <w:bCs/>
          <w:iCs/>
          <w:sz w:val="24"/>
        </w:rPr>
        <w:t>.</w:t>
      </w:r>
      <w:r w:rsidR="00D45569" w:rsidRPr="00F40950">
        <w:rPr>
          <w:bCs/>
          <w:iCs/>
          <w:sz w:val="24"/>
        </w:rPr>
        <w:t xml:space="preserve">” </w:t>
      </w:r>
      <w:r w:rsidR="00D45569" w:rsidRPr="00F40950">
        <w:rPr>
          <w:bCs/>
          <w:i/>
          <w:sz w:val="24"/>
        </w:rPr>
        <w:t>Iris</w:t>
      </w:r>
      <w:r w:rsidR="00D45569" w:rsidRPr="00F40950">
        <w:rPr>
          <w:bCs/>
          <w:iCs/>
          <w:sz w:val="24"/>
        </w:rPr>
        <w:t xml:space="preserve"> (Summer 2011): 24–27</w:t>
      </w:r>
      <w:r w:rsidR="00E462E8">
        <w:rPr>
          <w:bCs/>
          <w:iCs/>
          <w:sz w:val="24"/>
        </w:rPr>
        <w:t xml:space="preserve">. </w:t>
      </w:r>
      <w:r w:rsidR="00E462E8">
        <w:rPr>
          <w:bCs/>
          <w:iCs/>
          <w:sz w:val="24"/>
        </w:rPr>
        <w:br/>
        <w:t>[A light article for young people.]</w:t>
      </w:r>
    </w:p>
    <w:p w14:paraId="6DB52CE6" w14:textId="7DF7EFD9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“A Note on the Text and Interpretation of Cornelius Nepos, Alcibiades 10.2</w:t>
      </w:r>
      <w:r w:rsidR="00E462E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Pr="00F40950">
        <w:rPr>
          <w:bCs/>
          <w:i/>
          <w:sz w:val="24"/>
        </w:rPr>
        <w:t>Classic</w:t>
      </w:r>
      <w:r w:rsidR="00D45569" w:rsidRPr="00F40950">
        <w:rPr>
          <w:bCs/>
          <w:i/>
          <w:sz w:val="24"/>
        </w:rPr>
        <w:t>al Philology</w:t>
      </w:r>
      <w:r w:rsidR="00D45569" w:rsidRPr="00F40950">
        <w:rPr>
          <w:bCs/>
          <w:iCs/>
          <w:sz w:val="24"/>
        </w:rPr>
        <w:t xml:space="preserve"> 104 (2009): 511–</w:t>
      </w:r>
      <w:r w:rsidR="00E462E8">
        <w:rPr>
          <w:bCs/>
          <w:iCs/>
          <w:sz w:val="24"/>
        </w:rPr>
        <w:t>5</w:t>
      </w:r>
      <w:r w:rsidR="00D45569" w:rsidRPr="00F40950">
        <w:rPr>
          <w:bCs/>
          <w:iCs/>
          <w:sz w:val="24"/>
        </w:rPr>
        <w:t>15</w:t>
      </w:r>
      <w:r w:rsidR="00E462E8">
        <w:rPr>
          <w:bCs/>
          <w:iCs/>
          <w:sz w:val="24"/>
        </w:rPr>
        <w:t>.</w:t>
      </w:r>
    </w:p>
    <w:p w14:paraId="5A8863DF" w14:textId="65D3DF58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 xml:space="preserve">“Octavian’s Finances after Actium, before Egypt: The CAESAR DIVI F/IMP CAESAR Coinage and Antony’s Legionary </w:t>
      </w:r>
      <w:r w:rsidR="00D45569" w:rsidRPr="00F40950">
        <w:rPr>
          <w:bCs/>
          <w:iCs/>
          <w:sz w:val="24"/>
        </w:rPr>
        <w:t>Issue</w:t>
      </w:r>
      <w:r w:rsidR="00E462E8">
        <w:rPr>
          <w:bCs/>
          <w:iCs/>
          <w:sz w:val="24"/>
        </w:rPr>
        <w:t>.</w:t>
      </w:r>
      <w:r w:rsidR="00D45569" w:rsidRPr="00F40950">
        <w:rPr>
          <w:bCs/>
          <w:iCs/>
          <w:sz w:val="24"/>
        </w:rPr>
        <w:t xml:space="preserve">” </w:t>
      </w:r>
      <w:r w:rsidR="00D45569" w:rsidRPr="00F40950">
        <w:rPr>
          <w:bCs/>
          <w:i/>
          <w:sz w:val="24"/>
        </w:rPr>
        <w:t>Chiron</w:t>
      </w:r>
      <w:r w:rsidR="00D45569" w:rsidRPr="00F40950">
        <w:rPr>
          <w:bCs/>
          <w:iCs/>
          <w:sz w:val="24"/>
        </w:rPr>
        <w:t xml:space="preserve"> 37 (2007): 35–48</w:t>
      </w:r>
      <w:r w:rsidR="00E462E8">
        <w:rPr>
          <w:bCs/>
          <w:iCs/>
          <w:sz w:val="24"/>
        </w:rPr>
        <w:t>.</w:t>
      </w:r>
    </w:p>
    <w:p w14:paraId="3D6C46A4" w14:textId="2BAA0507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8" w:hanging="274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“Case Statements (</w:t>
      </w:r>
      <w:proofErr w:type="spellStart"/>
      <w:r w:rsidRPr="00E462E8">
        <w:rPr>
          <w:bCs/>
          <w:i/>
          <w:sz w:val="24"/>
        </w:rPr>
        <w:t>themata</w:t>
      </w:r>
      <w:proofErr w:type="spellEnd"/>
      <w:r w:rsidRPr="00F40950">
        <w:rPr>
          <w:bCs/>
          <w:iCs/>
          <w:sz w:val="24"/>
        </w:rPr>
        <w:t>) and the Composition of Gratian’s Cases</w:t>
      </w:r>
      <w:r w:rsidR="00E462E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>”</w:t>
      </w:r>
      <w:r w:rsidRPr="00F40950">
        <w:rPr>
          <w:bCs/>
          <w:i/>
          <w:sz w:val="24"/>
        </w:rPr>
        <w:t xml:space="preserve"> </w:t>
      </w:r>
      <w:proofErr w:type="spellStart"/>
      <w:r w:rsidRPr="00F40950">
        <w:rPr>
          <w:bCs/>
          <w:i/>
          <w:sz w:val="24"/>
        </w:rPr>
        <w:t>Zeitschrift</w:t>
      </w:r>
      <w:proofErr w:type="spellEnd"/>
      <w:r w:rsidRPr="00F40950">
        <w:rPr>
          <w:bCs/>
          <w:i/>
          <w:sz w:val="24"/>
        </w:rPr>
        <w:t xml:space="preserve"> der Savigny-Stiftung </w:t>
      </w:r>
      <w:proofErr w:type="spellStart"/>
      <w:r w:rsidRPr="00F40950">
        <w:rPr>
          <w:bCs/>
          <w:i/>
          <w:sz w:val="24"/>
        </w:rPr>
        <w:t>für</w:t>
      </w:r>
      <w:proofErr w:type="spellEnd"/>
      <w:r w:rsidRPr="00F40950">
        <w:rPr>
          <w:bCs/>
          <w:i/>
          <w:sz w:val="24"/>
        </w:rPr>
        <w:t xml:space="preserve"> </w:t>
      </w:r>
      <w:proofErr w:type="spellStart"/>
      <w:r w:rsidRPr="00F40950">
        <w:rPr>
          <w:bCs/>
          <w:i/>
          <w:sz w:val="24"/>
        </w:rPr>
        <w:t>Rechtsgeschichte</w:t>
      </w:r>
      <w:proofErr w:type="spellEnd"/>
      <w:r w:rsidRPr="00F40950">
        <w:rPr>
          <w:bCs/>
          <w:i/>
          <w:sz w:val="24"/>
        </w:rPr>
        <w:t xml:space="preserve">, </w:t>
      </w:r>
      <w:proofErr w:type="spellStart"/>
      <w:r w:rsidRPr="00F40950">
        <w:rPr>
          <w:bCs/>
          <w:i/>
          <w:sz w:val="24"/>
        </w:rPr>
        <w:t>Kanonistis</w:t>
      </w:r>
      <w:r w:rsidR="00D45569" w:rsidRPr="00F40950">
        <w:rPr>
          <w:bCs/>
          <w:i/>
          <w:sz w:val="24"/>
        </w:rPr>
        <w:t>che</w:t>
      </w:r>
      <w:proofErr w:type="spellEnd"/>
      <w:r w:rsidR="00D45569" w:rsidRPr="00F40950">
        <w:rPr>
          <w:bCs/>
          <w:i/>
          <w:sz w:val="24"/>
        </w:rPr>
        <w:t xml:space="preserve"> </w:t>
      </w:r>
      <w:proofErr w:type="spellStart"/>
      <w:r w:rsidR="00D45569" w:rsidRPr="00F40950">
        <w:rPr>
          <w:bCs/>
          <w:i/>
          <w:sz w:val="24"/>
        </w:rPr>
        <w:t>Abteilung</w:t>
      </w:r>
      <w:proofErr w:type="spellEnd"/>
      <w:r w:rsidR="00D45569" w:rsidRPr="00F40950">
        <w:rPr>
          <w:bCs/>
          <w:iCs/>
          <w:sz w:val="24"/>
        </w:rPr>
        <w:t xml:space="preserve"> 92 (2006): 306–</w:t>
      </w:r>
      <w:r w:rsidR="00E462E8">
        <w:rPr>
          <w:bCs/>
          <w:iCs/>
          <w:sz w:val="24"/>
        </w:rPr>
        <w:t>3</w:t>
      </w:r>
      <w:r w:rsidR="00D45569" w:rsidRPr="00F40950">
        <w:rPr>
          <w:bCs/>
          <w:iCs/>
          <w:sz w:val="24"/>
        </w:rPr>
        <w:t>39</w:t>
      </w:r>
      <w:r w:rsidR="00E462E8">
        <w:rPr>
          <w:bCs/>
          <w:iCs/>
          <w:sz w:val="24"/>
        </w:rPr>
        <w:t>.</w:t>
      </w:r>
    </w:p>
    <w:p w14:paraId="55936361" w14:textId="77777777" w:rsidR="005973A1" w:rsidRPr="00F40950" w:rsidRDefault="005973A1" w:rsidP="005973A1">
      <w:pPr>
        <w:pStyle w:val="Heading1"/>
        <w:tabs>
          <w:tab w:val="left" w:pos="540"/>
        </w:tabs>
        <w:spacing w:line="360" w:lineRule="auto"/>
        <w:ind w:left="540" w:hanging="270"/>
        <w:contextualSpacing/>
        <w:rPr>
          <w:rFonts w:ascii="Times New Roman" w:hAnsi="Times New Roman" w:cs="Times New Roman"/>
        </w:rPr>
      </w:pPr>
      <w:r w:rsidRPr="00F40950">
        <w:rPr>
          <w:rFonts w:ascii="Times New Roman" w:hAnsi="Times New Roman" w:cs="Times New Roman"/>
        </w:rPr>
        <w:lastRenderedPageBreak/>
        <w:t>Lexicon articles</w:t>
      </w:r>
    </w:p>
    <w:p w14:paraId="1258519D" w14:textId="77777777" w:rsidR="005973A1" w:rsidRPr="00F40950" w:rsidRDefault="005973A1" w:rsidP="005973A1">
      <w:pPr>
        <w:pStyle w:val="BodyTextIndent2"/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 xml:space="preserve">Twenty-nine articles on Roman law, government, and Late Antiquity for the </w:t>
      </w:r>
      <w:r w:rsidRPr="00F40950">
        <w:rPr>
          <w:bCs/>
          <w:i/>
          <w:sz w:val="24"/>
        </w:rPr>
        <w:t>Oxford Dictionary of Late Antiquity</w:t>
      </w:r>
      <w:r w:rsidRPr="00F40950">
        <w:rPr>
          <w:bCs/>
          <w:iCs/>
          <w:sz w:val="24"/>
        </w:rPr>
        <w:t>, ed. Oliver Nicholson (Oxford, 2018)</w:t>
      </w:r>
    </w:p>
    <w:p w14:paraId="7DDED93E" w14:textId="28F92D5C" w:rsidR="00981583" w:rsidRPr="00F40950" w:rsidRDefault="00E462E8" w:rsidP="008723FF">
      <w:pPr>
        <w:pStyle w:val="Heading1"/>
        <w:tabs>
          <w:tab w:val="left" w:pos="540"/>
        </w:tabs>
        <w:spacing w:line="360" w:lineRule="auto"/>
        <w:ind w:left="540" w:hanging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r</w:t>
      </w:r>
      <w:r w:rsidR="00981583" w:rsidRPr="00F40950">
        <w:rPr>
          <w:rFonts w:ascii="Times New Roman" w:hAnsi="Times New Roman" w:cs="Times New Roman"/>
        </w:rPr>
        <w:t>eviews</w:t>
      </w:r>
    </w:p>
    <w:p w14:paraId="69410D4B" w14:textId="76B9F4E8" w:rsidR="00981583" w:rsidRPr="00F4095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Silvie</w:t>
      </w:r>
      <w:proofErr w:type="spellEnd"/>
      <w:r>
        <w:rPr>
          <w:bCs/>
          <w:iCs/>
          <w:sz w:val="24"/>
        </w:rPr>
        <w:t xml:space="preserve"> </w:t>
      </w:r>
      <w:proofErr w:type="spellStart"/>
      <w:r w:rsidR="00981583" w:rsidRPr="00F40950">
        <w:rPr>
          <w:bCs/>
          <w:iCs/>
          <w:sz w:val="24"/>
        </w:rPr>
        <w:t>Crogiez-Pétrequin</w:t>
      </w:r>
      <w:proofErr w:type="spellEnd"/>
      <w:r w:rsidR="00981583" w:rsidRPr="00F40950">
        <w:rPr>
          <w:bCs/>
          <w:iCs/>
          <w:sz w:val="24"/>
        </w:rPr>
        <w:t xml:space="preserve"> and Pierre </w:t>
      </w:r>
      <w:proofErr w:type="spellStart"/>
      <w:r w:rsidR="00981583" w:rsidRPr="00F40950">
        <w:rPr>
          <w:bCs/>
          <w:iCs/>
          <w:sz w:val="24"/>
        </w:rPr>
        <w:t>Jaillette</w:t>
      </w:r>
      <w:proofErr w:type="spellEnd"/>
      <w:r>
        <w:rPr>
          <w:bCs/>
          <w:iCs/>
          <w:sz w:val="24"/>
        </w:rPr>
        <w:t xml:space="preserve"> (eds</w:t>
      </w:r>
      <w:r w:rsidR="00981583" w:rsidRPr="00F40950">
        <w:rPr>
          <w:bCs/>
          <w:iCs/>
          <w:sz w:val="24"/>
        </w:rPr>
        <w:t>.</w:t>
      </w:r>
      <w:r>
        <w:rPr>
          <w:bCs/>
          <w:iCs/>
          <w:sz w:val="24"/>
        </w:rPr>
        <w:t>)</w:t>
      </w:r>
      <w:r w:rsidR="007A2EA8">
        <w:rPr>
          <w:bCs/>
          <w:iCs/>
          <w:sz w:val="24"/>
        </w:rPr>
        <w:t>.</w:t>
      </w:r>
      <w:r>
        <w:rPr>
          <w:bCs/>
          <w:iCs/>
          <w:sz w:val="24"/>
        </w:rPr>
        <w:t>,</w:t>
      </w:r>
      <w:r w:rsidR="00981583" w:rsidRPr="00F40950">
        <w:rPr>
          <w:bCs/>
          <w:iCs/>
          <w:sz w:val="24"/>
        </w:rPr>
        <w:t xml:space="preserve"> </w:t>
      </w:r>
      <w:r w:rsidR="00981583" w:rsidRPr="00F40950">
        <w:rPr>
          <w:bCs/>
          <w:i/>
          <w:sz w:val="24"/>
        </w:rPr>
        <w:t xml:space="preserve">Société, </w:t>
      </w:r>
      <w:proofErr w:type="spellStart"/>
      <w:r w:rsidR="00981583" w:rsidRPr="00F40950">
        <w:rPr>
          <w:bCs/>
          <w:i/>
          <w:sz w:val="24"/>
        </w:rPr>
        <w:t>économie</w:t>
      </w:r>
      <w:proofErr w:type="spellEnd"/>
      <w:r w:rsidR="00981583" w:rsidRPr="00F40950">
        <w:rPr>
          <w:bCs/>
          <w:i/>
          <w:sz w:val="24"/>
        </w:rPr>
        <w:t xml:space="preserve">, administration </w:t>
      </w:r>
      <w:proofErr w:type="spellStart"/>
      <w:r w:rsidR="00981583" w:rsidRPr="00F40950">
        <w:rPr>
          <w:bCs/>
          <w:i/>
          <w:sz w:val="24"/>
        </w:rPr>
        <w:t>dans</w:t>
      </w:r>
      <w:proofErr w:type="spellEnd"/>
      <w:r w:rsidR="00981583" w:rsidRPr="00F40950">
        <w:rPr>
          <w:bCs/>
          <w:i/>
          <w:sz w:val="24"/>
        </w:rPr>
        <w:t xml:space="preserve"> le Code </w:t>
      </w:r>
      <w:proofErr w:type="spellStart"/>
      <w:r w:rsidR="00981583" w:rsidRPr="00F40950">
        <w:rPr>
          <w:bCs/>
          <w:i/>
          <w:sz w:val="24"/>
        </w:rPr>
        <w:t>Théodosien</w:t>
      </w:r>
      <w:proofErr w:type="spellEnd"/>
      <w:r w:rsidR="00981583" w:rsidRPr="00F40950">
        <w:rPr>
          <w:bCs/>
          <w:iCs/>
          <w:sz w:val="24"/>
        </w:rPr>
        <w:t xml:space="preserve"> (Lille 2012)</w:t>
      </w:r>
      <w:r w:rsidR="007A2EA8">
        <w:rPr>
          <w:bCs/>
          <w:iCs/>
          <w:sz w:val="24"/>
        </w:rPr>
        <w:t>.</w:t>
      </w:r>
      <w:r w:rsidR="00981583" w:rsidRPr="00F40950">
        <w:rPr>
          <w:bCs/>
          <w:iCs/>
          <w:sz w:val="24"/>
        </w:rPr>
        <w:t xml:space="preserve"> </w:t>
      </w:r>
      <w:proofErr w:type="spellStart"/>
      <w:r w:rsidR="00981583" w:rsidRPr="00F40950">
        <w:rPr>
          <w:bCs/>
          <w:i/>
          <w:sz w:val="24"/>
        </w:rPr>
        <w:t>Klio</w:t>
      </w:r>
      <w:proofErr w:type="spellEnd"/>
      <w:r w:rsidR="00D45569" w:rsidRPr="00F40950">
        <w:rPr>
          <w:bCs/>
          <w:iCs/>
          <w:sz w:val="24"/>
        </w:rPr>
        <w:t xml:space="preserve"> 9</w:t>
      </w:r>
      <w:r w:rsidR="00251245" w:rsidRPr="00F40950">
        <w:rPr>
          <w:bCs/>
          <w:iCs/>
          <w:sz w:val="24"/>
        </w:rPr>
        <w:t>8</w:t>
      </w:r>
      <w:r w:rsidR="00D45569" w:rsidRPr="00F40950">
        <w:rPr>
          <w:bCs/>
          <w:iCs/>
          <w:sz w:val="24"/>
        </w:rPr>
        <w:t xml:space="preserve"> (2016)</w:t>
      </w:r>
      <w:r w:rsidR="00251245" w:rsidRPr="00F40950">
        <w:rPr>
          <w:bCs/>
          <w:iCs/>
          <w:sz w:val="24"/>
        </w:rPr>
        <w:t>:</w:t>
      </w:r>
      <w:r w:rsidR="00D45569" w:rsidRPr="00F40950">
        <w:rPr>
          <w:bCs/>
          <w:iCs/>
          <w:sz w:val="24"/>
        </w:rPr>
        <w:t xml:space="preserve"> </w:t>
      </w:r>
      <w:r w:rsidR="00251245" w:rsidRPr="00F40950">
        <w:rPr>
          <w:bCs/>
          <w:iCs/>
          <w:sz w:val="24"/>
        </w:rPr>
        <w:t>400</w:t>
      </w:r>
      <w:r w:rsidR="007A2EA8" w:rsidRPr="00F40950">
        <w:rPr>
          <w:bCs/>
          <w:iCs/>
          <w:sz w:val="24"/>
        </w:rPr>
        <w:t>–</w:t>
      </w:r>
      <w:r w:rsidR="007A2EA8">
        <w:rPr>
          <w:bCs/>
          <w:iCs/>
          <w:sz w:val="24"/>
        </w:rPr>
        <w:t>40</w:t>
      </w:r>
      <w:r w:rsidR="00251245" w:rsidRPr="00F40950">
        <w:rPr>
          <w:bCs/>
          <w:iCs/>
          <w:sz w:val="24"/>
        </w:rPr>
        <w:t>5</w:t>
      </w:r>
    </w:p>
    <w:p w14:paraId="7FA7D421" w14:textId="13C93FDD" w:rsidR="00981583" w:rsidRPr="00F4095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>
        <w:rPr>
          <w:bCs/>
          <w:iCs/>
          <w:sz w:val="24"/>
        </w:rPr>
        <w:t xml:space="preserve">Lorenzo </w:t>
      </w:r>
      <w:proofErr w:type="spellStart"/>
      <w:r w:rsidR="00981583" w:rsidRPr="00F40950">
        <w:rPr>
          <w:bCs/>
          <w:iCs/>
          <w:sz w:val="24"/>
        </w:rPr>
        <w:t>Sguaitamatti</w:t>
      </w:r>
      <w:proofErr w:type="spellEnd"/>
      <w:r w:rsidR="00981583" w:rsidRPr="00F40950">
        <w:rPr>
          <w:bCs/>
          <w:iCs/>
          <w:sz w:val="24"/>
        </w:rPr>
        <w:t xml:space="preserve">, </w:t>
      </w:r>
      <w:r w:rsidR="00981583" w:rsidRPr="00F40950">
        <w:rPr>
          <w:bCs/>
          <w:i/>
          <w:sz w:val="24"/>
        </w:rPr>
        <w:t xml:space="preserve">Der </w:t>
      </w:r>
      <w:proofErr w:type="spellStart"/>
      <w:r w:rsidR="00981583" w:rsidRPr="00F40950">
        <w:rPr>
          <w:bCs/>
          <w:i/>
          <w:sz w:val="24"/>
        </w:rPr>
        <w:t>spätantike</w:t>
      </w:r>
      <w:proofErr w:type="spellEnd"/>
      <w:r w:rsidR="00981583" w:rsidRPr="00F40950">
        <w:rPr>
          <w:bCs/>
          <w:i/>
          <w:sz w:val="24"/>
        </w:rPr>
        <w:t xml:space="preserve"> </w:t>
      </w:r>
      <w:proofErr w:type="spellStart"/>
      <w:r w:rsidR="00981583" w:rsidRPr="00F40950">
        <w:rPr>
          <w:bCs/>
          <w:i/>
          <w:sz w:val="24"/>
        </w:rPr>
        <w:t>Konsulat</w:t>
      </w:r>
      <w:proofErr w:type="spellEnd"/>
      <w:r w:rsidR="00981583" w:rsidRPr="00F40950">
        <w:rPr>
          <w:bCs/>
          <w:iCs/>
          <w:sz w:val="24"/>
        </w:rPr>
        <w:t xml:space="preserve"> (Fribourg</w:t>
      </w:r>
      <w:r w:rsidR="00D45569" w:rsidRPr="00F40950">
        <w:rPr>
          <w:bCs/>
          <w:iCs/>
          <w:sz w:val="24"/>
        </w:rPr>
        <w:t xml:space="preserve"> 2012)</w:t>
      </w:r>
      <w:r w:rsidR="007A2EA8">
        <w:rPr>
          <w:bCs/>
          <w:iCs/>
          <w:sz w:val="24"/>
        </w:rPr>
        <w:t>.</w:t>
      </w:r>
      <w:r w:rsidR="00D45569" w:rsidRPr="00F40950">
        <w:rPr>
          <w:bCs/>
          <w:iCs/>
          <w:sz w:val="24"/>
        </w:rPr>
        <w:t xml:space="preserve"> </w:t>
      </w:r>
      <w:proofErr w:type="spellStart"/>
      <w:r w:rsidR="00D45569" w:rsidRPr="00F40950">
        <w:rPr>
          <w:bCs/>
          <w:i/>
          <w:sz w:val="24"/>
        </w:rPr>
        <w:t>Klio</w:t>
      </w:r>
      <w:proofErr w:type="spellEnd"/>
      <w:r w:rsidR="00D45569" w:rsidRPr="00F40950">
        <w:rPr>
          <w:bCs/>
          <w:iCs/>
          <w:sz w:val="24"/>
        </w:rPr>
        <w:t xml:space="preserve"> 95 (2013): 560</w:t>
      </w:r>
      <w:r w:rsidR="007A2EA8" w:rsidRPr="00F40950">
        <w:rPr>
          <w:bCs/>
          <w:iCs/>
          <w:sz w:val="24"/>
        </w:rPr>
        <w:t>–</w:t>
      </w:r>
      <w:r w:rsidR="007A2EA8">
        <w:rPr>
          <w:bCs/>
          <w:iCs/>
          <w:sz w:val="24"/>
        </w:rPr>
        <w:t>5</w:t>
      </w:r>
      <w:r w:rsidR="00D45569" w:rsidRPr="00F40950">
        <w:rPr>
          <w:bCs/>
          <w:iCs/>
          <w:sz w:val="24"/>
        </w:rPr>
        <w:t>64</w:t>
      </w:r>
      <w:r w:rsidR="007A2EA8">
        <w:rPr>
          <w:bCs/>
          <w:iCs/>
          <w:sz w:val="24"/>
        </w:rPr>
        <w:t>.</w:t>
      </w:r>
    </w:p>
    <w:p w14:paraId="6481E6AE" w14:textId="25CA5881" w:rsidR="00981583" w:rsidRPr="00F4095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>
        <w:rPr>
          <w:bCs/>
          <w:iCs/>
          <w:sz w:val="24"/>
        </w:rPr>
        <w:t xml:space="preserve">Christopher </w:t>
      </w:r>
      <w:r w:rsidR="00981583" w:rsidRPr="00F40950">
        <w:rPr>
          <w:bCs/>
          <w:iCs/>
          <w:sz w:val="24"/>
        </w:rPr>
        <w:t>Smith and Liv Yarrow</w:t>
      </w:r>
      <w:r>
        <w:rPr>
          <w:bCs/>
          <w:iCs/>
          <w:sz w:val="24"/>
        </w:rPr>
        <w:t xml:space="preserve"> (</w:t>
      </w:r>
      <w:r w:rsidR="00981583" w:rsidRPr="00F40950">
        <w:rPr>
          <w:bCs/>
          <w:iCs/>
          <w:sz w:val="24"/>
        </w:rPr>
        <w:t>eds.</w:t>
      </w:r>
      <w:r>
        <w:rPr>
          <w:bCs/>
          <w:iCs/>
          <w:sz w:val="24"/>
        </w:rPr>
        <w:t>)</w:t>
      </w:r>
      <w:r w:rsidR="00981583" w:rsidRPr="00F40950">
        <w:rPr>
          <w:bCs/>
          <w:iCs/>
          <w:sz w:val="24"/>
        </w:rPr>
        <w:t xml:space="preserve">, </w:t>
      </w:r>
      <w:r w:rsidR="00981583" w:rsidRPr="00F40950">
        <w:rPr>
          <w:bCs/>
          <w:i/>
          <w:sz w:val="24"/>
        </w:rPr>
        <w:t>Imperialism, Cultural Politics, and Polybius</w:t>
      </w:r>
      <w:r w:rsidR="00981583" w:rsidRPr="00F40950">
        <w:rPr>
          <w:bCs/>
          <w:iCs/>
          <w:sz w:val="24"/>
        </w:rPr>
        <w:t xml:space="preserve"> (Oxford 2012)</w:t>
      </w:r>
      <w:r w:rsidR="007A2EA8">
        <w:rPr>
          <w:bCs/>
          <w:iCs/>
          <w:sz w:val="24"/>
        </w:rPr>
        <w:t>.</w:t>
      </w:r>
      <w:r w:rsidR="00981583" w:rsidRPr="00F40950">
        <w:rPr>
          <w:bCs/>
          <w:iCs/>
          <w:sz w:val="24"/>
        </w:rPr>
        <w:t xml:space="preserve"> </w:t>
      </w:r>
      <w:r w:rsidR="00981583" w:rsidRPr="008007B4">
        <w:rPr>
          <w:bCs/>
          <w:i/>
          <w:sz w:val="24"/>
        </w:rPr>
        <w:t>Journal of R</w:t>
      </w:r>
      <w:r w:rsidR="00D45569" w:rsidRPr="008007B4">
        <w:rPr>
          <w:bCs/>
          <w:i/>
          <w:sz w:val="24"/>
        </w:rPr>
        <w:t>oman Studies</w:t>
      </w:r>
      <w:r w:rsidR="00D45569" w:rsidRPr="00F40950">
        <w:rPr>
          <w:bCs/>
          <w:iCs/>
          <w:sz w:val="24"/>
        </w:rPr>
        <w:t xml:space="preserve"> 103 (2013): 271–</w:t>
      </w:r>
      <w:r w:rsidR="007A2EA8">
        <w:rPr>
          <w:bCs/>
          <w:iCs/>
          <w:sz w:val="24"/>
        </w:rPr>
        <w:t>2</w:t>
      </w:r>
      <w:r w:rsidR="00D45569" w:rsidRPr="00F40950">
        <w:rPr>
          <w:bCs/>
          <w:iCs/>
          <w:sz w:val="24"/>
        </w:rPr>
        <w:t>72</w:t>
      </w:r>
    </w:p>
    <w:p w14:paraId="667B823E" w14:textId="66AFF977" w:rsidR="00981583" w:rsidRPr="00F4095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>
        <w:rPr>
          <w:bCs/>
          <w:iCs/>
          <w:sz w:val="24"/>
        </w:rPr>
        <w:t xml:space="preserve">Benjamin </w:t>
      </w:r>
      <w:r w:rsidR="00981583" w:rsidRPr="00F40950">
        <w:rPr>
          <w:bCs/>
          <w:iCs/>
          <w:sz w:val="24"/>
        </w:rPr>
        <w:t xml:space="preserve">Kelly, </w:t>
      </w:r>
      <w:r w:rsidR="00981583" w:rsidRPr="00F40950">
        <w:rPr>
          <w:bCs/>
          <w:i/>
          <w:sz w:val="24"/>
        </w:rPr>
        <w:t>Petitions, Litigation, and Social Control in Roman Egypt</w:t>
      </w:r>
      <w:r w:rsidR="00981583" w:rsidRPr="00F40950">
        <w:rPr>
          <w:bCs/>
          <w:iCs/>
          <w:sz w:val="24"/>
        </w:rPr>
        <w:t xml:space="preserve"> (Oxford 20</w:t>
      </w:r>
      <w:r w:rsidR="00D45569" w:rsidRPr="00F40950">
        <w:rPr>
          <w:bCs/>
          <w:iCs/>
          <w:sz w:val="24"/>
        </w:rPr>
        <w:t>11)</w:t>
      </w:r>
      <w:r w:rsidR="007A2EA8">
        <w:rPr>
          <w:bCs/>
          <w:iCs/>
          <w:sz w:val="24"/>
        </w:rPr>
        <w:t>.</w:t>
      </w:r>
      <w:r w:rsidR="00D45569" w:rsidRPr="00F40950">
        <w:rPr>
          <w:bCs/>
          <w:iCs/>
          <w:sz w:val="24"/>
        </w:rPr>
        <w:t xml:space="preserve"> </w:t>
      </w:r>
      <w:proofErr w:type="spellStart"/>
      <w:r w:rsidR="00D45569" w:rsidRPr="00F40950">
        <w:rPr>
          <w:bCs/>
          <w:i/>
          <w:sz w:val="24"/>
        </w:rPr>
        <w:t>Mouseion</w:t>
      </w:r>
      <w:proofErr w:type="spellEnd"/>
      <w:r w:rsidR="00D45569" w:rsidRPr="00F40950">
        <w:rPr>
          <w:bCs/>
          <w:iCs/>
          <w:sz w:val="24"/>
        </w:rPr>
        <w:t xml:space="preserve"> 11 (2013): 142–</w:t>
      </w:r>
      <w:r w:rsidR="007A2EA8">
        <w:rPr>
          <w:bCs/>
          <w:iCs/>
          <w:sz w:val="24"/>
        </w:rPr>
        <w:t>1</w:t>
      </w:r>
      <w:r w:rsidR="00D45569" w:rsidRPr="00F40950">
        <w:rPr>
          <w:bCs/>
          <w:iCs/>
          <w:sz w:val="24"/>
        </w:rPr>
        <w:t>45</w:t>
      </w:r>
      <w:r w:rsidR="007A2EA8">
        <w:rPr>
          <w:bCs/>
          <w:iCs/>
          <w:sz w:val="24"/>
        </w:rPr>
        <w:t>.</w:t>
      </w:r>
    </w:p>
    <w:p w14:paraId="2B4066FB" w14:textId="2468AC71" w:rsidR="00981583" w:rsidRPr="00BB2AC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  <w:lang w:val="de-DE"/>
        </w:rPr>
      </w:pPr>
      <w:r>
        <w:rPr>
          <w:bCs/>
          <w:iCs/>
          <w:sz w:val="24"/>
        </w:rPr>
        <w:t xml:space="preserve">Clifford </w:t>
      </w:r>
      <w:r w:rsidR="00981583" w:rsidRPr="00F40950">
        <w:rPr>
          <w:bCs/>
          <w:iCs/>
          <w:sz w:val="24"/>
        </w:rPr>
        <w:t xml:space="preserve">Ando, </w:t>
      </w:r>
      <w:r w:rsidR="00981583" w:rsidRPr="00F40950">
        <w:rPr>
          <w:bCs/>
          <w:i/>
          <w:sz w:val="24"/>
        </w:rPr>
        <w:t>Law, Language, and Empire in the Roman Tradition</w:t>
      </w:r>
      <w:r w:rsidR="00981583" w:rsidRPr="00F40950">
        <w:rPr>
          <w:bCs/>
          <w:iCs/>
          <w:sz w:val="24"/>
        </w:rPr>
        <w:t xml:space="preserve"> (Philadelphia 2011)</w:t>
      </w:r>
      <w:r w:rsidR="007A2EA8">
        <w:rPr>
          <w:bCs/>
          <w:iCs/>
          <w:sz w:val="24"/>
        </w:rPr>
        <w:t>.</w:t>
      </w:r>
      <w:r w:rsidR="00981583" w:rsidRPr="00F40950">
        <w:rPr>
          <w:bCs/>
          <w:iCs/>
          <w:sz w:val="24"/>
        </w:rPr>
        <w:t xml:space="preserve"> </w:t>
      </w:r>
      <w:r w:rsidR="00981583" w:rsidRPr="00BB2AC0">
        <w:rPr>
          <w:bCs/>
          <w:i/>
          <w:sz w:val="24"/>
          <w:lang w:val="de-DE"/>
        </w:rPr>
        <w:t>New England Cla</w:t>
      </w:r>
      <w:r w:rsidR="00D45569" w:rsidRPr="00BB2AC0">
        <w:rPr>
          <w:bCs/>
          <w:i/>
          <w:sz w:val="24"/>
          <w:lang w:val="de-DE"/>
        </w:rPr>
        <w:t>ssical Journal</w:t>
      </w:r>
      <w:r w:rsidR="00D45569" w:rsidRPr="00BB2AC0">
        <w:rPr>
          <w:bCs/>
          <w:iCs/>
          <w:sz w:val="24"/>
          <w:lang w:val="de-DE"/>
        </w:rPr>
        <w:t xml:space="preserve"> 40 (2013): 54–57</w:t>
      </w:r>
      <w:r w:rsidR="007A2EA8" w:rsidRPr="00BB2AC0">
        <w:rPr>
          <w:bCs/>
          <w:iCs/>
          <w:sz w:val="24"/>
          <w:lang w:val="de-DE"/>
        </w:rPr>
        <w:t>.</w:t>
      </w:r>
    </w:p>
    <w:p w14:paraId="60BB7895" w14:textId="1B63938A" w:rsidR="00981583" w:rsidRPr="00F4095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BB2AC0">
        <w:rPr>
          <w:bCs/>
          <w:iCs/>
          <w:sz w:val="24"/>
          <w:lang w:val="de-DE"/>
        </w:rPr>
        <w:t xml:space="preserve">Mischa </w:t>
      </w:r>
      <w:r w:rsidR="00981583" w:rsidRPr="00BB2AC0">
        <w:rPr>
          <w:bCs/>
          <w:iCs/>
          <w:sz w:val="24"/>
          <w:lang w:val="de-DE"/>
        </w:rPr>
        <w:t>Meier</w:t>
      </w:r>
      <w:r w:rsidRPr="00BB2AC0">
        <w:rPr>
          <w:bCs/>
          <w:iCs/>
          <w:sz w:val="24"/>
          <w:lang w:val="de-DE"/>
        </w:rPr>
        <w:t xml:space="preserve"> (</w:t>
      </w:r>
      <w:r w:rsidR="00981583" w:rsidRPr="00BB2AC0">
        <w:rPr>
          <w:bCs/>
          <w:iCs/>
          <w:sz w:val="24"/>
          <w:lang w:val="de-DE"/>
        </w:rPr>
        <w:t>ed.</w:t>
      </w:r>
      <w:r w:rsidRPr="00BB2AC0">
        <w:rPr>
          <w:bCs/>
          <w:iCs/>
          <w:sz w:val="24"/>
          <w:lang w:val="de-DE"/>
        </w:rPr>
        <w:t>),</w:t>
      </w:r>
      <w:r w:rsidR="00981583" w:rsidRPr="00BB2AC0">
        <w:rPr>
          <w:bCs/>
          <w:iCs/>
          <w:sz w:val="24"/>
          <w:lang w:val="de-DE"/>
        </w:rPr>
        <w:t xml:space="preserve"> </w:t>
      </w:r>
      <w:r w:rsidR="00981583" w:rsidRPr="00BB2AC0">
        <w:rPr>
          <w:bCs/>
          <w:i/>
          <w:sz w:val="24"/>
          <w:lang w:val="de-DE"/>
        </w:rPr>
        <w:t>Justinian, Neue Wege der Forschung</w:t>
      </w:r>
      <w:r w:rsidR="00981583" w:rsidRPr="00BB2AC0">
        <w:rPr>
          <w:bCs/>
          <w:iCs/>
          <w:sz w:val="24"/>
          <w:lang w:val="de-DE"/>
        </w:rPr>
        <w:t xml:space="preserve"> (Darmstadt 2010)</w:t>
      </w:r>
      <w:r w:rsidR="007A2EA8" w:rsidRPr="00BB2AC0">
        <w:rPr>
          <w:bCs/>
          <w:iCs/>
          <w:sz w:val="24"/>
          <w:lang w:val="de-DE"/>
        </w:rPr>
        <w:t>.</w:t>
      </w:r>
      <w:r w:rsidR="00981583" w:rsidRPr="00BB2AC0">
        <w:rPr>
          <w:bCs/>
          <w:iCs/>
          <w:sz w:val="24"/>
          <w:lang w:val="de-DE"/>
        </w:rPr>
        <w:t xml:space="preserve"> </w:t>
      </w:r>
      <w:r w:rsidR="00981583" w:rsidRPr="00F40950">
        <w:rPr>
          <w:bCs/>
          <w:i/>
          <w:sz w:val="24"/>
        </w:rPr>
        <w:t>Journal of R</w:t>
      </w:r>
      <w:r w:rsidR="00D45569" w:rsidRPr="00F40950">
        <w:rPr>
          <w:bCs/>
          <w:i/>
          <w:sz w:val="24"/>
        </w:rPr>
        <w:t>oman Studies</w:t>
      </w:r>
      <w:r w:rsidR="00D45569" w:rsidRPr="00F40950">
        <w:rPr>
          <w:bCs/>
          <w:iCs/>
          <w:sz w:val="24"/>
        </w:rPr>
        <w:t xml:space="preserve"> 102 (2012): 417–</w:t>
      </w:r>
      <w:r w:rsidR="007A2EA8">
        <w:rPr>
          <w:bCs/>
          <w:iCs/>
          <w:sz w:val="24"/>
        </w:rPr>
        <w:t>4</w:t>
      </w:r>
      <w:r w:rsidR="00D45569" w:rsidRPr="00F40950">
        <w:rPr>
          <w:bCs/>
          <w:iCs/>
          <w:sz w:val="24"/>
        </w:rPr>
        <w:t>18</w:t>
      </w:r>
      <w:r w:rsidR="007A2EA8">
        <w:rPr>
          <w:bCs/>
          <w:iCs/>
          <w:sz w:val="24"/>
        </w:rPr>
        <w:t>.</w:t>
      </w:r>
    </w:p>
    <w:p w14:paraId="130DDE53" w14:textId="4B69706D" w:rsidR="00981583" w:rsidRPr="00F4095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>
        <w:rPr>
          <w:bCs/>
          <w:iCs/>
          <w:sz w:val="24"/>
        </w:rPr>
        <w:t xml:space="preserve">Noel </w:t>
      </w:r>
      <w:r w:rsidR="00981583" w:rsidRPr="00F40950">
        <w:rPr>
          <w:bCs/>
          <w:iCs/>
          <w:sz w:val="24"/>
        </w:rPr>
        <w:t>Lenski</w:t>
      </w:r>
      <w:r>
        <w:rPr>
          <w:bCs/>
          <w:iCs/>
          <w:sz w:val="24"/>
        </w:rPr>
        <w:t xml:space="preserve"> (ed.)</w:t>
      </w:r>
      <w:r w:rsidR="00981583" w:rsidRPr="00F40950">
        <w:rPr>
          <w:bCs/>
          <w:iCs/>
          <w:sz w:val="24"/>
        </w:rPr>
        <w:t xml:space="preserve">, </w:t>
      </w:r>
      <w:r w:rsidR="00981583" w:rsidRPr="00F40950">
        <w:rPr>
          <w:bCs/>
          <w:i/>
          <w:sz w:val="24"/>
        </w:rPr>
        <w:t>The Cambridge Companion to the Age of Constantine, Revised edition</w:t>
      </w:r>
      <w:r w:rsidR="00981583" w:rsidRPr="00F40950">
        <w:rPr>
          <w:bCs/>
          <w:iCs/>
          <w:sz w:val="24"/>
        </w:rPr>
        <w:t xml:space="preserve"> (Cambridge 2012)</w:t>
      </w:r>
      <w:r w:rsidR="007A2EA8">
        <w:rPr>
          <w:bCs/>
          <w:iCs/>
          <w:sz w:val="24"/>
        </w:rPr>
        <w:t>.</w:t>
      </w:r>
      <w:r w:rsidR="00981583" w:rsidRPr="00F40950">
        <w:rPr>
          <w:bCs/>
          <w:iCs/>
          <w:sz w:val="24"/>
        </w:rPr>
        <w:t xml:space="preserve"> </w:t>
      </w:r>
      <w:r w:rsidR="00981583" w:rsidRPr="008007B4">
        <w:rPr>
          <w:bCs/>
          <w:i/>
          <w:sz w:val="24"/>
        </w:rPr>
        <w:t xml:space="preserve">Bryn </w:t>
      </w:r>
      <w:proofErr w:type="spellStart"/>
      <w:r w:rsidR="00981583" w:rsidRPr="008007B4">
        <w:rPr>
          <w:bCs/>
          <w:i/>
          <w:sz w:val="24"/>
        </w:rPr>
        <w:t>Mawr</w:t>
      </w:r>
      <w:proofErr w:type="spellEnd"/>
      <w:r w:rsidR="00981583" w:rsidRPr="008007B4">
        <w:rPr>
          <w:bCs/>
          <w:i/>
          <w:sz w:val="24"/>
        </w:rPr>
        <w:t xml:space="preserve"> Cl</w:t>
      </w:r>
      <w:r w:rsidR="00D45569" w:rsidRPr="008007B4">
        <w:rPr>
          <w:bCs/>
          <w:i/>
          <w:sz w:val="24"/>
        </w:rPr>
        <w:t>assical Review</w:t>
      </w:r>
      <w:r w:rsidR="00D45569" w:rsidRPr="00F40950">
        <w:rPr>
          <w:bCs/>
          <w:iCs/>
          <w:sz w:val="24"/>
        </w:rPr>
        <w:t>, August 29, 2012</w:t>
      </w:r>
      <w:r w:rsidR="007A2EA8">
        <w:rPr>
          <w:bCs/>
          <w:iCs/>
          <w:sz w:val="24"/>
        </w:rPr>
        <w:t xml:space="preserve">. </w:t>
      </w:r>
      <w:hyperlink r:id="rId12" w:history="1">
        <w:r w:rsidR="007A2EA8" w:rsidRPr="00315C35">
          <w:rPr>
            <w:rStyle w:val="Hyperlink"/>
            <w:bCs/>
            <w:iCs/>
            <w:sz w:val="24"/>
          </w:rPr>
          <w:t>https://bmcr.brynmawr.edu/2012/2012.08.52/</w:t>
        </w:r>
      </w:hyperlink>
      <w:r w:rsidR="007A2EA8">
        <w:rPr>
          <w:bCs/>
          <w:iCs/>
          <w:sz w:val="24"/>
        </w:rPr>
        <w:t xml:space="preserve"> </w:t>
      </w:r>
    </w:p>
    <w:p w14:paraId="1616C2BD" w14:textId="491AE615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 xml:space="preserve">Robert M. </w:t>
      </w:r>
      <w:proofErr w:type="spellStart"/>
      <w:r w:rsidR="008007B4" w:rsidRPr="00F40950">
        <w:rPr>
          <w:bCs/>
          <w:iCs/>
          <w:sz w:val="24"/>
        </w:rPr>
        <w:t>Frakes</w:t>
      </w:r>
      <w:proofErr w:type="spellEnd"/>
      <w:r w:rsidR="008007B4" w:rsidRPr="00F40950">
        <w:rPr>
          <w:bCs/>
          <w:iCs/>
          <w:sz w:val="24"/>
        </w:rPr>
        <w:t xml:space="preserve">, </w:t>
      </w:r>
      <w:r w:rsidRPr="00F40950">
        <w:rPr>
          <w:bCs/>
          <w:i/>
          <w:sz w:val="24"/>
        </w:rPr>
        <w:t xml:space="preserve">Compiling the </w:t>
      </w:r>
      <w:proofErr w:type="spellStart"/>
      <w:r w:rsidRPr="00F40950">
        <w:rPr>
          <w:bCs/>
          <w:i/>
          <w:sz w:val="24"/>
        </w:rPr>
        <w:t>Collatio</w:t>
      </w:r>
      <w:proofErr w:type="spellEnd"/>
      <w:r w:rsidRPr="00F40950">
        <w:rPr>
          <w:bCs/>
          <w:i/>
          <w:sz w:val="24"/>
        </w:rPr>
        <w:t xml:space="preserve"> </w:t>
      </w:r>
      <w:proofErr w:type="spellStart"/>
      <w:r w:rsidRPr="00F40950">
        <w:rPr>
          <w:bCs/>
          <w:i/>
          <w:sz w:val="24"/>
        </w:rPr>
        <w:t>Legum</w:t>
      </w:r>
      <w:proofErr w:type="spellEnd"/>
      <w:r w:rsidRPr="00F40950">
        <w:rPr>
          <w:bCs/>
          <w:i/>
          <w:sz w:val="24"/>
        </w:rPr>
        <w:t xml:space="preserve"> </w:t>
      </w:r>
      <w:proofErr w:type="spellStart"/>
      <w:r w:rsidRPr="00F40950">
        <w:rPr>
          <w:bCs/>
          <w:i/>
          <w:sz w:val="24"/>
        </w:rPr>
        <w:t>Mosaicarum</w:t>
      </w:r>
      <w:proofErr w:type="spellEnd"/>
      <w:r w:rsidRPr="00F40950">
        <w:rPr>
          <w:bCs/>
          <w:i/>
          <w:sz w:val="24"/>
        </w:rPr>
        <w:t xml:space="preserve"> et </w:t>
      </w:r>
      <w:proofErr w:type="spellStart"/>
      <w:r w:rsidRPr="00F40950">
        <w:rPr>
          <w:bCs/>
          <w:i/>
          <w:sz w:val="24"/>
        </w:rPr>
        <w:t>Romanarum</w:t>
      </w:r>
      <w:proofErr w:type="spellEnd"/>
      <w:r w:rsidRPr="00F40950">
        <w:rPr>
          <w:bCs/>
          <w:i/>
          <w:sz w:val="24"/>
        </w:rPr>
        <w:t xml:space="preserve"> in Late Antiquity</w:t>
      </w:r>
      <w:r w:rsidRPr="00F40950">
        <w:rPr>
          <w:bCs/>
          <w:iCs/>
          <w:sz w:val="24"/>
        </w:rPr>
        <w:t>, Oxford Studies in Roman Society &amp; Law (Oxford 2011</w:t>
      </w:r>
      <w:r w:rsidR="00D45569" w:rsidRPr="00F40950">
        <w:rPr>
          <w:bCs/>
          <w:iCs/>
          <w:sz w:val="24"/>
        </w:rPr>
        <w:t>)</w:t>
      </w:r>
      <w:r w:rsidR="007A2EA8">
        <w:rPr>
          <w:bCs/>
          <w:iCs/>
          <w:sz w:val="24"/>
        </w:rPr>
        <w:t>.</w:t>
      </w:r>
      <w:r w:rsidR="00D45569" w:rsidRPr="00F40950">
        <w:rPr>
          <w:bCs/>
          <w:iCs/>
          <w:sz w:val="24"/>
        </w:rPr>
        <w:t xml:space="preserve"> </w:t>
      </w:r>
      <w:r w:rsidR="00D45569" w:rsidRPr="00F40950">
        <w:rPr>
          <w:bCs/>
          <w:i/>
          <w:sz w:val="24"/>
        </w:rPr>
        <w:t>H-</w:t>
      </w:r>
      <w:proofErr w:type="spellStart"/>
      <w:r w:rsidR="00D45569" w:rsidRPr="00F40950">
        <w:rPr>
          <w:bCs/>
          <w:i/>
          <w:sz w:val="24"/>
        </w:rPr>
        <w:t>Soz</w:t>
      </w:r>
      <w:proofErr w:type="spellEnd"/>
      <w:r w:rsidR="00D45569" w:rsidRPr="00F40950">
        <w:rPr>
          <w:bCs/>
          <w:i/>
          <w:sz w:val="24"/>
        </w:rPr>
        <w:t>-</w:t>
      </w:r>
      <w:proofErr w:type="spellStart"/>
      <w:r w:rsidR="00D45569" w:rsidRPr="00F40950">
        <w:rPr>
          <w:bCs/>
          <w:i/>
          <w:sz w:val="24"/>
        </w:rPr>
        <w:t>Kult</w:t>
      </w:r>
      <w:proofErr w:type="spellEnd"/>
      <w:r w:rsidR="00D45569" w:rsidRPr="00F40950">
        <w:rPr>
          <w:bCs/>
          <w:iCs/>
          <w:sz w:val="24"/>
        </w:rPr>
        <w:t>, January 16, 2012</w:t>
      </w:r>
      <w:r w:rsidR="007A2EA8">
        <w:rPr>
          <w:bCs/>
          <w:iCs/>
          <w:sz w:val="24"/>
        </w:rPr>
        <w:t xml:space="preserve">. </w:t>
      </w:r>
      <w:hyperlink r:id="rId13" w:history="1">
        <w:r w:rsidR="007A2EA8" w:rsidRPr="00315C35">
          <w:rPr>
            <w:rStyle w:val="Hyperlink"/>
            <w:bCs/>
            <w:iCs/>
            <w:sz w:val="24"/>
          </w:rPr>
          <w:t>https://hsozkult.geschichte.hu-berlin.de/rezensionen/2012-1-030.pdf</w:t>
        </w:r>
      </w:hyperlink>
      <w:r w:rsidR="007A2EA8">
        <w:rPr>
          <w:bCs/>
          <w:iCs/>
          <w:sz w:val="24"/>
        </w:rPr>
        <w:t xml:space="preserve"> </w:t>
      </w:r>
    </w:p>
    <w:p w14:paraId="02398310" w14:textId="102CD071" w:rsidR="00981583" w:rsidRPr="00F4095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 xml:space="preserve">John </w:t>
      </w:r>
      <w:r w:rsidR="00981583" w:rsidRPr="00F40950">
        <w:rPr>
          <w:bCs/>
          <w:iCs/>
          <w:sz w:val="24"/>
        </w:rPr>
        <w:t xml:space="preserve">Richardson, </w:t>
      </w:r>
      <w:r w:rsidR="00981583" w:rsidRPr="00F40950">
        <w:rPr>
          <w:bCs/>
          <w:i/>
          <w:sz w:val="24"/>
        </w:rPr>
        <w:t>The Language of Empire: Rome and the Idea of Empire from the Third Century BC to the Second Century AD</w:t>
      </w:r>
      <w:r w:rsidR="00981583" w:rsidRPr="00F40950">
        <w:rPr>
          <w:bCs/>
          <w:iCs/>
          <w:sz w:val="24"/>
        </w:rPr>
        <w:t xml:space="preserve"> (Cambridge 2008)</w:t>
      </w:r>
      <w:r w:rsidR="007A2EA8">
        <w:rPr>
          <w:bCs/>
          <w:iCs/>
          <w:sz w:val="24"/>
        </w:rPr>
        <w:t>.</w:t>
      </w:r>
      <w:r w:rsidR="00981583" w:rsidRPr="00F40950">
        <w:rPr>
          <w:bCs/>
          <w:iCs/>
          <w:sz w:val="24"/>
        </w:rPr>
        <w:t xml:space="preserve"> </w:t>
      </w:r>
      <w:r w:rsidR="00981583" w:rsidRPr="00F40950">
        <w:rPr>
          <w:bCs/>
          <w:i/>
          <w:sz w:val="24"/>
        </w:rPr>
        <w:t>Ancient History Bulletin Online Reviews</w:t>
      </w:r>
      <w:r w:rsidR="00981583" w:rsidRPr="00F40950">
        <w:rPr>
          <w:bCs/>
          <w:iCs/>
          <w:sz w:val="24"/>
        </w:rPr>
        <w:t xml:space="preserve"> 1 (2011): 73–75.</w:t>
      </w:r>
      <w:r w:rsidR="007A2EA8" w:rsidRPr="007A2EA8">
        <w:t xml:space="preserve"> </w:t>
      </w:r>
      <w:hyperlink r:id="rId14" w:history="1">
        <w:r w:rsidR="007A2EA8" w:rsidRPr="00315C35">
          <w:rPr>
            <w:rStyle w:val="Hyperlink"/>
            <w:bCs/>
            <w:iCs/>
            <w:sz w:val="24"/>
          </w:rPr>
          <w:t>https://ancienthistorybulletin.org/wp-content/uploads/2014/08/AHBReviews201122.DillonOnRichardson.pdf</w:t>
        </w:r>
      </w:hyperlink>
      <w:r w:rsidR="007A2EA8">
        <w:rPr>
          <w:bCs/>
          <w:iCs/>
          <w:sz w:val="24"/>
        </w:rPr>
        <w:t xml:space="preserve"> </w:t>
      </w:r>
    </w:p>
    <w:p w14:paraId="7365AB57" w14:textId="5DBA7665" w:rsidR="00981583" w:rsidRPr="00F4095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 xml:space="preserve">Robin </w:t>
      </w:r>
      <w:r w:rsidR="00981583" w:rsidRPr="00F40950">
        <w:rPr>
          <w:bCs/>
          <w:iCs/>
          <w:sz w:val="24"/>
        </w:rPr>
        <w:t>Waterfield</w:t>
      </w:r>
      <w:r>
        <w:rPr>
          <w:bCs/>
          <w:iCs/>
          <w:sz w:val="24"/>
        </w:rPr>
        <w:t xml:space="preserve"> (</w:t>
      </w:r>
      <w:r w:rsidR="00981583" w:rsidRPr="00F40950">
        <w:rPr>
          <w:bCs/>
          <w:iCs/>
          <w:sz w:val="24"/>
        </w:rPr>
        <w:t>trans.</w:t>
      </w:r>
      <w:r>
        <w:rPr>
          <w:bCs/>
          <w:iCs/>
          <w:sz w:val="24"/>
        </w:rPr>
        <w:t>),</w:t>
      </w:r>
      <w:r w:rsidR="00981583" w:rsidRPr="00F40950">
        <w:rPr>
          <w:bCs/>
          <w:iCs/>
          <w:sz w:val="24"/>
        </w:rPr>
        <w:t xml:space="preserve"> </w:t>
      </w:r>
      <w:r w:rsidR="00981583" w:rsidRPr="00F40950">
        <w:rPr>
          <w:bCs/>
          <w:i/>
          <w:sz w:val="24"/>
        </w:rPr>
        <w:t>Polybius, The Histories</w:t>
      </w:r>
      <w:r w:rsidR="00981583" w:rsidRPr="00F40950">
        <w:rPr>
          <w:bCs/>
          <w:iCs/>
          <w:sz w:val="24"/>
        </w:rPr>
        <w:t xml:space="preserve"> (Oxford 2010)</w:t>
      </w:r>
      <w:r w:rsidR="00285060">
        <w:rPr>
          <w:bCs/>
          <w:iCs/>
          <w:sz w:val="24"/>
        </w:rPr>
        <w:t>.</w:t>
      </w:r>
      <w:r w:rsidR="00981583" w:rsidRPr="00F40950">
        <w:rPr>
          <w:bCs/>
          <w:iCs/>
          <w:sz w:val="24"/>
        </w:rPr>
        <w:t xml:space="preserve"> </w:t>
      </w:r>
      <w:r w:rsidR="00981583" w:rsidRPr="00F40950">
        <w:rPr>
          <w:bCs/>
          <w:i/>
          <w:sz w:val="24"/>
        </w:rPr>
        <w:t xml:space="preserve">Bryn </w:t>
      </w:r>
      <w:proofErr w:type="spellStart"/>
      <w:r w:rsidR="00981583" w:rsidRPr="00F40950">
        <w:rPr>
          <w:bCs/>
          <w:i/>
          <w:sz w:val="24"/>
        </w:rPr>
        <w:t>Mawr</w:t>
      </w:r>
      <w:proofErr w:type="spellEnd"/>
      <w:r w:rsidR="00981583" w:rsidRPr="00F40950">
        <w:rPr>
          <w:bCs/>
          <w:i/>
          <w:sz w:val="24"/>
        </w:rPr>
        <w:t xml:space="preserve"> Cl</w:t>
      </w:r>
      <w:r w:rsidR="00D45569" w:rsidRPr="00F40950">
        <w:rPr>
          <w:bCs/>
          <w:i/>
          <w:sz w:val="24"/>
        </w:rPr>
        <w:t>assical Review</w:t>
      </w:r>
      <w:r w:rsidR="00D45569" w:rsidRPr="00F40950">
        <w:rPr>
          <w:bCs/>
          <w:iCs/>
          <w:sz w:val="24"/>
        </w:rPr>
        <w:t>, August 16, 2011</w:t>
      </w:r>
      <w:r w:rsidR="00285060">
        <w:rPr>
          <w:bCs/>
          <w:iCs/>
          <w:sz w:val="24"/>
        </w:rPr>
        <w:t xml:space="preserve">. </w:t>
      </w:r>
      <w:hyperlink r:id="rId15" w:history="1">
        <w:r w:rsidR="00285060" w:rsidRPr="00315C35">
          <w:rPr>
            <w:rStyle w:val="Hyperlink"/>
            <w:bCs/>
            <w:iCs/>
            <w:sz w:val="24"/>
          </w:rPr>
          <w:t>https://bmcr.brynmawr.edu/2011/2011.08.29/</w:t>
        </w:r>
      </w:hyperlink>
      <w:r w:rsidR="00285060">
        <w:rPr>
          <w:bCs/>
          <w:iCs/>
          <w:sz w:val="24"/>
        </w:rPr>
        <w:t xml:space="preserve"> </w:t>
      </w:r>
    </w:p>
    <w:p w14:paraId="1E6B2118" w14:textId="00D2AEA0" w:rsidR="00981583" w:rsidRPr="00BB2AC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  <w:lang w:val="de-DE"/>
        </w:rPr>
      </w:pPr>
      <w:r>
        <w:rPr>
          <w:bCs/>
          <w:iCs/>
          <w:sz w:val="24"/>
        </w:rPr>
        <w:t xml:space="preserve">H. H. </w:t>
      </w:r>
      <w:proofErr w:type="spellStart"/>
      <w:r w:rsidR="00981583" w:rsidRPr="00F40950">
        <w:rPr>
          <w:bCs/>
          <w:iCs/>
          <w:sz w:val="24"/>
        </w:rPr>
        <w:t>Scullard</w:t>
      </w:r>
      <w:proofErr w:type="spellEnd"/>
      <w:r w:rsidR="00981583" w:rsidRPr="00F40950">
        <w:rPr>
          <w:bCs/>
          <w:iCs/>
          <w:sz w:val="24"/>
        </w:rPr>
        <w:t xml:space="preserve">, </w:t>
      </w:r>
      <w:r w:rsidR="00981583" w:rsidRPr="00F40950">
        <w:rPr>
          <w:bCs/>
          <w:i/>
          <w:sz w:val="24"/>
        </w:rPr>
        <w:t>From the Gracchi to Nero: A History of Rome 133 B.C. to A.D. 68</w:t>
      </w:r>
      <w:r w:rsidR="00981583" w:rsidRPr="00F40950">
        <w:rPr>
          <w:bCs/>
          <w:iCs/>
          <w:sz w:val="24"/>
        </w:rPr>
        <w:t xml:space="preserve"> (first published 1959; London</w:t>
      </w:r>
      <w:r w:rsidR="009D5899" w:rsidRPr="00F40950">
        <w:rPr>
          <w:bCs/>
          <w:iCs/>
          <w:sz w:val="24"/>
        </w:rPr>
        <w:t>/</w:t>
      </w:r>
      <w:r w:rsidR="00981583" w:rsidRPr="00F40950">
        <w:rPr>
          <w:bCs/>
          <w:iCs/>
          <w:sz w:val="24"/>
        </w:rPr>
        <w:t>New York 2011)</w:t>
      </w:r>
      <w:r w:rsidR="00285060">
        <w:rPr>
          <w:bCs/>
          <w:iCs/>
          <w:sz w:val="24"/>
        </w:rPr>
        <w:t>.</w:t>
      </w:r>
      <w:r w:rsidR="00981583" w:rsidRPr="00F40950">
        <w:rPr>
          <w:bCs/>
          <w:iCs/>
          <w:sz w:val="24"/>
        </w:rPr>
        <w:t xml:space="preserve"> </w:t>
      </w:r>
      <w:r w:rsidR="00981583" w:rsidRPr="00BB2AC0">
        <w:rPr>
          <w:bCs/>
          <w:i/>
          <w:sz w:val="24"/>
          <w:lang w:val="de-DE"/>
        </w:rPr>
        <w:t xml:space="preserve">Bryn Mawr </w:t>
      </w:r>
      <w:r w:rsidR="00D45569" w:rsidRPr="00BB2AC0">
        <w:rPr>
          <w:bCs/>
          <w:i/>
          <w:sz w:val="24"/>
          <w:lang w:val="de-DE"/>
        </w:rPr>
        <w:t>Classical Review</w:t>
      </w:r>
      <w:r w:rsidR="00D45569" w:rsidRPr="00BB2AC0">
        <w:rPr>
          <w:bCs/>
          <w:iCs/>
          <w:sz w:val="24"/>
          <w:lang w:val="de-DE"/>
        </w:rPr>
        <w:t>, July 22, 2011</w:t>
      </w:r>
      <w:r w:rsidR="00285060" w:rsidRPr="00BB2AC0">
        <w:rPr>
          <w:bCs/>
          <w:iCs/>
          <w:sz w:val="24"/>
          <w:lang w:val="de-DE"/>
        </w:rPr>
        <w:t>.</w:t>
      </w:r>
      <w:r w:rsidR="00285060" w:rsidRPr="00BB2AC0">
        <w:rPr>
          <w:lang w:val="de-DE"/>
        </w:rPr>
        <w:t xml:space="preserve"> </w:t>
      </w:r>
      <w:hyperlink r:id="rId16" w:history="1">
        <w:r w:rsidR="00285060" w:rsidRPr="00BB2AC0">
          <w:rPr>
            <w:rStyle w:val="Hyperlink"/>
            <w:bCs/>
            <w:iCs/>
            <w:sz w:val="24"/>
            <w:lang w:val="de-DE"/>
          </w:rPr>
          <w:t>https://bmcr.brynmawr.edu/2011/2011.07.36/</w:t>
        </w:r>
      </w:hyperlink>
      <w:r w:rsidR="00285060" w:rsidRPr="00BB2AC0">
        <w:rPr>
          <w:bCs/>
          <w:iCs/>
          <w:sz w:val="24"/>
          <w:lang w:val="de-DE"/>
        </w:rPr>
        <w:t xml:space="preserve"> </w:t>
      </w:r>
    </w:p>
    <w:p w14:paraId="0EE16346" w14:textId="1222D52F" w:rsidR="00981583" w:rsidRPr="00F4095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BB2AC0">
        <w:rPr>
          <w:bCs/>
          <w:iCs/>
          <w:sz w:val="24"/>
          <w:lang w:val="de-DE"/>
        </w:rPr>
        <w:lastRenderedPageBreak/>
        <w:t xml:space="preserve">Christoph </w:t>
      </w:r>
      <w:r w:rsidR="00981583" w:rsidRPr="00BB2AC0">
        <w:rPr>
          <w:bCs/>
          <w:iCs/>
          <w:sz w:val="24"/>
          <w:lang w:val="de-DE"/>
        </w:rPr>
        <w:t>Auffarth</w:t>
      </w:r>
      <w:r w:rsidRPr="00BB2AC0">
        <w:rPr>
          <w:bCs/>
          <w:iCs/>
          <w:sz w:val="24"/>
          <w:lang w:val="de-DE"/>
        </w:rPr>
        <w:t xml:space="preserve"> (ed.)</w:t>
      </w:r>
      <w:r w:rsidR="00981583" w:rsidRPr="00BB2AC0">
        <w:rPr>
          <w:bCs/>
          <w:iCs/>
          <w:sz w:val="24"/>
          <w:lang w:val="de-DE"/>
        </w:rPr>
        <w:t xml:space="preserve">, </w:t>
      </w:r>
      <w:r w:rsidR="00981583" w:rsidRPr="00BB2AC0">
        <w:rPr>
          <w:bCs/>
          <w:i/>
          <w:sz w:val="24"/>
          <w:lang w:val="de-DE"/>
        </w:rPr>
        <w:t>Religion auf dem Lande: Entstehung und Veränderung von Sakrallandschaften unter römischer Herrschaft</w:t>
      </w:r>
      <w:r w:rsidR="00981583" w:rsidRPr="00BB2AC0">
        <w:rPr>
          <w:bCs/>
          <w:iCs/>
          <w:sz w:val="24"/>
          <w:lang w:val="de-DE"/>
        </w:rPr>
        <w:t xml:space="preserve"> (Stuttgart 2009)</w:t>
      </w:r>
      <w:r w:rsidR="00285060" w:rsidRPr="00BB2AC0">
        <w:rPr>
          <w:bCs/>
          <w:iCs/>
          <w:sz w:val="24"/>
          <w:lang w:val="de-DE"/>
        </w:rPr>
        <w:t>.</w:t>
      </w:r>
      <w:r w:rsidR="00981583" w:rsidRPr="00BB2AC0">
        <w:rPr>
          <w:bCs/>
          <w:iCs/>
          <w:sz w:val="24"/>
          <w:lang w:val="de-DE"/>
        </w:rPr>
        <w:t xml:space="preserve"> </w:t>
      </w:r>
      <w:r w:rsidR="00981583" w:rsidRPr="00F40950">
        <w:rPr>
          <w:bCs/>
          <w:i/>
          <w:sz w:val="24"/>
        </w:rPr>
        <w:t xml:space="preserve">Bryn </w:t>
      </w:r>
      <w:proofErr w:type="spellStart"/>
      <w:r w:rsidR="00981583" w:rsidRPr="00F40950">
        <w:rPr>
          <w:bCs/>
          <w:i/>
          <w:sz w:val="24"/>
        </w:rPr>
        <w:t>Mawr</w:t>
      </w:r>
      <w:proofErr w:type="spellEnd"/>
      <w:r w:rsidR="00981583" w:rsidRPr="00F40950">
        <w:rPr>
          <w:bCs/>
          <w:i/>
          <w:sz w:val="24"/>
        </w:rPr>
        <w:t xml:space="preserve"> C</w:t>
      </w:r>
      <w:r w:rsidR="00D45569" w:rsidRPr="00F40950">
        <w:rPr>
          <w:bCs/>
          <w:i/>
          <w:sz w:val="24"/>
        </w:rPr>
        <w:t>lassical Review</w:t>
      </w:r>
      <w:r w:rsidR="00D45569" w:rsidRPr="00F40950">
        <w:rPr>
          <w:bCs/>
          <w:iCs/>
          <w:sz w:val="24"/>
        </w:rPr>
        <w:t>, April 22, 2010</w:t>
      </w:r>
      <w:r w:rsidR="00285060">
        <w:rPr>
          <w:bCs/>
          <w:iCs/>
          <w:sz w:val="24"/>
        </w:rPr>
        <w:t xml:space="preserve">. </w:t>
      </w:r>
      <w:hyperlink r:id="rId17" w:history="1">
        <w:r w:rsidR="00285060" w:rsidRPr="00315C35">
          <w:rPr>
            <w:rStyle w:val="Hyperlink"/>
            <w:bCs/>
            <w:iCs/>
            <w:sz w:val="24"/>
          </w:rPr>
          <w:t>https://bmcr.brynmawr.edu/2010/2010.04.22/</w:t>
        </w:r>
      </w:hyperlink>
      <w:r w:rsidR="00285060">
        <w:rPr>
          <w:bCs/>
          <w:iCs/>
          <w:sz w:val="24"/>
        </w:rPr>
        <w:t xml:space="preserve"> </w:t>
      </w:r>
    </w:p>
    <w:p w14:paraId="77AA27D4" w14:textId="29060DB8" w:rsidR="00981583" w:rsidRPr="00BB2AC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  <w:lang w:val="de-DE"/>
        </w:rPr>
      </w:pPr>
      <w:r>
        <w:rPr>
          <w:bCs/>
          <w:iCs/>
          <w:sz w:val="24"/>
        </w:rPr>
        <w:t xml:space="preserve">Paul </w:t>
      </w:r>
      <w:r w:rsidR="00981583" w:rsidRPr="00F40950">
        <w:rPr>
          <w:bCs/>
          <w:iCs/>
          <w:sz w:val="24"/>
        </w:rPr>
        <w:t>Dräger</w:t>
      </w:r>
      <w:r>
        <w:rPr>
          <w:bCs/>
          <w:iCs/>
          <w:sz w:val="24"/>
        </w:rPr>
        <w:t xml:space="preserve"> (ed.</w:t>
      </w:r>
      <w:r w:rsidR="00285060">
        <w:rPr>
          <w:bCs/>
          <w:iCs/>
          <w:sz w:val="24"/>
        </w:rPr>
        <w:t xml:space="preserve"> and </w:t>
      </w:r>
      <w:r>
        <w:rPr>
          <w:bCs/>
          <w:iCs/>
          <w:sz w:val="24"/>
        </w:rPr>
        <w:t>trans.)</w:t>
      </w:r>
      <w:r w:rsidR="00981583" w:rsidRPr="00F40950">
        <w:rPr>
          <w:bCs/>
          <w:iCs/>
          <w:sz w:val="24"/>
        </w:rPr>
        <w:t xml:space="preserve">, </w:t>
      </w:r>
      <w:proofErr w:type="spellStart"/>
      <w:r w:rsidR="00981583" w:rsidRPr="00F40950">
        <w:rPr>
          <w:bCs/>
          <w:i/>
          <w:sz w:val="24"/>
        </w:rPr>
        <w:t>Eusebios</w:t>
      </w:r>
      <w:proofErr w:type="spellEnd"/>
      <w:r w:rsidR="00981583" w:rsidRPr="00F40950">
        <w:rPr>
          <w:bCs/>
          <w:i/>
          <w:sz w:val="24"/>
        </w:rPr>
        <w:t xml:space="preserve">. </w:t>
      </w:r>
      <w:r w:rsidR="00981583" w:rsidRPr="00BB2AC0">
        <w:rPr>
          <w:bCs/>
          <w:i/>
          <w:sz w:val="24"/>
          <w:lang w:val="de-DE"/>
        </w:rPr>
        <w:t>Über das Leben des glückseligen Kaisers Konstantin</w:t>
      </w:r>
      <w:r w:rsidR="00981583" w:rsidRPr="00BB2AC0">
        <w:rPr>
          <w:bCs/>
          <w:iCs/>
          <w:sz w:val="24"/>
          <w:lang w:val="de-DE"/>
        </w:rPr>
        <w:t>, Utopica 1 (Oberhaid 2007</w:t>
      </w:r>
      <w:r w:rsidR="00285060" w:rsidRPr="00BB2AC0">
        <w:rPr>
          <w:bCs/>
          <w:iCs/>
          <w:sz w:val="24"/>
          <w:lang w:val="de-DE"/>
        </w:rPr>
        <w:t>).</w:t>
      </w:r>
      <w:r w:rsidR="00981583" w:rsidRPr="00BB2AC0">
        <w:rPr>
          <w:bCs/>
          <w:iCs/>
          <w:sz w:val="24"/>
          <w:lang w:val="de-DE"/>
        </w:rPr>
        <w:t xml:space="preserve"> </w:t>
      </w:r>
      <w:r w:rsidR="00981583" w:rsidRPr="00BB2AC0">
        <w:rPr>
          <w:bCs/>
          <w:i/>
          <w:sz w:val="24"/>
          <w:lang w:val="de-DE"/>
        </w:rPr>
        <w:t>Bryn Mawr</w:t>
      </w:r>
      <w:r w:rsidR="00D45569" w:rsidRPr="00BB2AC0">
        <w:rPr>
          <w:bCs/>
          <w:i/>
          <w:sz w:val="24"/>
          <w:lang w:val="de-DE"/>
        </w:rPr>
        <w:t xml:space="preserve"> Classical Review</w:t>
      </w:r>
      <w:r w:rsidR="00D45569" w:rsidRPr="00BB2AC0">
        <w:rPr>
          <w:bCs/>
          <w:iCs/>
          <w:sz w:val="24"/>
          <w:lang w:val="de-DE"/>
        </w:rPr>
        <w:t>, July 7, 2007</w:t>
      </w:r>
      <w:r w:rsidR="00285060" w:rsidRPr="00BB2AC0">
        <w:rPr>
          <w:bCs/>
          <w:iCs/>
          <w:sz w:val="24"/>
          <w:lang w:val="de-DE"/>
        </w:rPr>
        <w:t xml:space="preserve">. </w:t>
      </w:r>
      <w:hyperlink r:id="rId18" w:history="1">
        <w:r w:rsidR="00285060" w:rsidRPr="00BB2AC0">
          <w:rPr>
            <w:rStyle w:val="Hyperlink"/>
            <w:bCs/>
            <w:iCs/>
            <w:sz w:val="24"/>
            <w:lang w:val="de-DE"/>
          </w:rPr>
          <w:t>https://bmcr.brynmawr.edu/2007/2007.07.57/</w:t>
        </w:r>
      </w:hyperlink>
      <w:r w:rsidR="00285060" w:rsidRPr="00BB2AC0">
        <w:rPr>
          <w:bCs/>
          <w:iCs/>
          <w:sz w:val="24"/>
          <w:lang w:val="de-DE"/>
        </w:rPr>
        <w:t xml:space="preserve"> </w:t>
      </w:r>
    </w:p>
    <w:p w14:paraId="55C6E115" w14:textId="323C4287" w:rsidR="00981583" w:rsidRPr="00F40950" w:rsidRDefault="008007B4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BB2AC0">
        <w:rPr>
          <w:bCs/>
          <w:iCs/>
          <w:sz w:val="24"/>
          <w:lang w:val="de-DE"/>
        </w:rPr>
        <w:t xml:space="preserve">Michaela </w:t>
      </w:r>
      <w:r w:rsidR="00981583" w:rsidRPr="00BB2AC0">
        <w:rPr>
          <w:bCs/>
          <w:iCs/>
          <w:sz w:val="24"/>
          <w:lang w:val="de-DE"/>
        </w:rPr>
        <w:t>Pfeiffer</w:t>
      </w:r>
      <w:r w:rsidRPr="00BB2AC0">
        <w:rPr>
          <w:bCs/>
          <w:iCs/>
          <w:sz w:val="24"/>
          <w:lang w:val="de-DE"/>
        </w:rPr>
        <w:t xml:space="preserve"> (</w:t>
      </w:r>
      <w:proofErr w:type="gramStart"/>
      <w:r w:rsidRPr="00BB2AC0">
        <w:rPr>
          <w:bCs/>
          <w:iCs/>
          <w:sz w:val="24"/>
          <w:lang w:val="de-DE"/>
        </w:rPr>
        <w:t>ed./</w:t>
      </w:r>
      <w:proofErr w:type="gramEnd"/>
      <w:r w:rsidRPr="00BB2AC0">
        <w:rPr>
          <w:bCs/>
          <w:iCs/>
          <w:sz w:val="24"/>
          <w:lang w:val="de-DE"/>
        </w:rPr>
        <w:t>trans.)</w:t>
      </w:r>
      <w:r w:rsidR="00981583" w:rsidRPr="00BB2AC0">
        <w:rPr>
          <w:bCs/>
          <w:iCs/>
          <w:sz w:val="24"/>
          <w:lang w:val="de-DE"/>
        </w:rPr>
        <w:t xml:space="preserve">, </w:t>
      </w:r>
      <w:r w:rsidR="00981583" w:rsidRPr="00BB2AC0">
        <w:rPr>
          <w:bCs/>
          <w:i/>
          <w:sz w:val="24"/>
          <w:lang w:val="de-DE"/>
        </w:rPr>
        <w:t>Cornelius Nepos: Berühmte Männer, De viris illustribus lateinisch-deutsch</w:t>
      </w:r>
      <w:r w:rsidR="00981583" w:rsidRPr="00BB2AC0">
        <w:rPr>
          <w:bCs/>
          <w:iCs/>
          <w:sz w:val="24"/>
          <w:lang w:val="de-DE"/>
        </w:rPr>
        <w:t>, Sammlung Tusculum (Düsseldorf 2006)</w:t>
      </w:r>
      <w:r w:rsidR="00285060" w:rsidRPr="00BB2AC0">
        <w:rPr>
          <w:bCs/>
          <w:iCs/>
          <w:sz w:val="24"/>
          <w:lang w:val="de-DE"/>
        </w:rPr>
        <w:t>.</w:t>
      </w:r>
      <w:r w:rsidR="00981583" w:rsidRPr="00BB2AC0">
        <w:rPr>
          <w:bCs/>
          <w:iCs/>
          <w:sz w:val="24"/>
          <w:lang w:val="de-DE"/>
        </w:rPr>
        <w:t xml:space="preserve"> </w:t>
      </w:r>
      <w:r w:rsidR="00981583" w:rsidRPr="00F40950">
        <w:rPr>
          <w:bCs/>
          <w:i/>
          <w:sz w:val="24"/>
        </w:rPr>
        <w:t xml:space="preserve">Bryn </w:t>
      </w:r>
      <w:proofErr w:type="spellStart"/>
      <w:r w:rsidR="00981583" w:rsidRPr="00F40950">
        <w:rPr>
          <w:bCs/>
          <w:i/>
          <w:sz w:val="24"/>
        </w:rPr>
        <w:t>Mawr</w:t>
      </w:r>
      <w:proofErr w:type="spellEnd"/>
      <w:r w:rsidR="00981583" w:rsidRPr="00F40950">
        <w:rPr>
          <w:bCs/>
          <w:i/>
          <w:sz w:val="24"/>
        </w:rPr>
        <w:t xml:space="preserve"> Cl</w:t>
      </w:r>
      <w:r w:rsidR="00D45569" w:rsidRPr="00F40950">
        <w:rPr>
          <w:bCs/>
          <w:i/>
          <w:sz w:val="24"/>
        </w:rPr>
        <w:t>assical Review</w:t>
      </w:r>
      <w:r w:rsidR="00D45569" w:rsidRPr="00F40950">
        <w:rPr>
          <w:bCs/>
          <w:iCs/>
          <w:sz w:val="24"/>
        </w:rPr>
        <w:t>, October 2, 2006</w:t>
      </w:r>
      <w:r w:rsidR="00285060">
        <w:rPr>
          <w:bCs/>
          <w:iCs/>
          <w:sz w:val="24"/>
        </w:rPr>
        <w:t>.</w:t>
      </w:r>
      <w:r w:rsidR="00285060" w:rsidRPr="00285060">
        <w:t xml:space="preserve"> </w:t>
      </w:r>
      <w:hyperlink r:id="rId19" w:history="1">
        <w:r w:rsidR="00285060" w:rsidRPr="00315C35">
          <w:rPr>
            <w:rStyle w:val="Hyperlink"/>
            <w:bCs/>
            <w:iCs/>
            <w:sz w:val="24"/>
          </w:rPr>
          <w:t>https://bmcr.brynmawr.edu/2006/2006.10.02/</w:t>
        </w:r>
      </w:hyperlink>
      <w:r w:rsidR="00285060">
        <w:rPr>
          <w:bCs/>
          <w:iCs/>
          <w:sz w:val="24"/>
        </w:rPr>
        <w:t xml:space="preserve"> </w:t>
      </w:r>
    </w:p>
    <w:p w14:paraId="60F2CDA0" w14:textId="77777777" w:rsidR="00981583" w:rsidRPr="00F40950" w:rsidRDefault="00981583" w:rsidP="008723FF">
      <w:pPr>
        <w:pStyle w:val="Heading1"/>
        <w:tabs>
          <w:tab w:val="left" w:pos="540"/>
        </w:tabs>
        <w:spacing w:line="360" w:lineRule="auto"/>
        <w:ind w:left="540" w:hanging="270"/>
        <w:contextualSpacing/>
        <w:rPr>
          <w:rFonts w:ascii="Times New Roman" w:hAnsi="Times New Roman" w:cs="Times New Roman"/>
        </w:rPr>
      </w:pPr>
      <w:r w:rsidRPr="00F40950">
        <w:rPr>
          <w:rFonts w:ascii="Times New Roman" w:hAnsi="Times New Roman" w:cs="Times New Roman"/>
        </w:rPr>
        <w:t>Talks</w:t>
      </w:r>
    </w:p>
    <w:p w14:paraId="5DC75415" w14:textId="4BEC04AB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“The Emperor’s New Prose: The Style of Tetrarchic Legislation</w:t>
      </w:r>
      <w:r w:rsidR="006C306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>” University of Cal</w:t>
      </w:r>
      <w:r w:rsidR="00D45569" w:rsidRPr="00F40950">
        <w:rPr>
          <w:bCs/>
          <w:iCs/>
          <w:sz w:val="24"/>
        </w:rPr>
        <w:t>ifornia, Berkeley</w:t>
      </w:r>
      <w:r w:rsidR="006C3068">
        <w:rPr>
          <w:bCs/>
          <w:iCs/>
          <w:sz w:val="24"/>
        </w:rPr>
        <w:t>.</w:t>
      </w:r>
      <w:r w:rsidR="00D45569" w:rsidRPr="00F40950">
        <w:rPr>
          <w:bCs/>
          <w:iCs/>
          <w:sz w:val="24"/>
        </w:rPr>
        <w:t xml:space="preserve"> Oct. 7, 2014</w:t>
      </w:r>
      <w:r w:rsidR="006C3068">
        <w:rPr>
          <w:bCs/>
          <w:iCs/>
          <w:sz w:val="24"/>
        </w:rPr>
        <w:t>.</w:t>
      </w:r>
    </w:p>
    <w:p w14:paraId="42F1851E" w14:textId="5407DD7C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“The Style of Imperial Constitutions: Between Rhetoric and Law</w:t>
      </w:r>
      <w:r w:rsidR="006C306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="00204244">
        <w:rPr>
          <w:bCs/>
          <w:iCs/>
          <w:sz w:val="24"/>
        </w:rPr>
        <w:t>For the c</w:t>
      </w:r>
      <w:r w:rsidR="00204244" w:rsidRPr="00F40950">
        <w:rPr>
          <w:bCs/>
          <w:iCs/>
          <w:sz w:val="24"/>
        </w:rPr>
        <w:t xml:space="preserve">olloquium </w:t>
      </w:r>
      <w:proofErr w:type="spellStart"/>
      <w:r w:rsidR="00204244" w:rsidRPr="00F40950">
        <w:rPr>
          <w:bCs/>
          <w:iCs/>
          <w:sz w:val="24"/>
        </w:rPr>
        <w:t>Diocleziano</w:t>
      </w:r>
      <w:proofErr w:type="spellEnd"/>
      <w:r w:rsidR="00204244" w:rsidRPr="00F40950">
        <w:rPr>
          <w:bCs/>
          <w:iCs/>
          <w:sz w:val="24"/>
        </w:rPr>
        <w:t xml:space="preserve">: La </w:t>
      </w:r>
      <w:proofErr w:type="spellStart"/>
      <w:r w:rsidR="00204244" w:rsidRPr="00F40950">
        <w:rPr>
          <w:bCs/>
          <w:iCs/>
          <w:sz w:val="24"/>
        </w:rPr>
        <w:t>frontiera</w:t>
      </w:r>
      <w:proofErr w:type="spellEnd"/>
      <w:r w:rsidR="00204244" w:rsidRPr="00F40950">
        <w:rPr>
          <w:bCs/>
          <w:iCs/>
          <w:sz w:val="24"/>
        </w:rPr>
        <w:t xml:space="preserve"> </w:t>
      </w:r>
      <w:proofErr w:type="spellStart"/>
      <w:r w:rsidR="00204244" w:rsidRPr="00F40950">
        <w:rPr>
          <w:bCs/>
          <w:iCs/>
          <w:sz w:val="24"/>
        </w:rPr>
        <w:t>giuridica</w:t>
      </w:r>
      <w:proofErr w:type="spellEnd"/>
      <w:r w:rsidR="00204244" w:rsidRPr="00F40950">
        <w:rPr>
          <w:bCs/>
          <w:iCs/>
          <w:sz w:val="24"/>
        </w:rPr>
        <w:t xml:space="preserve"> </w:t>
      </w:r>
      <w:proofErr w:type="spellStart"/>
      <w:r w:rsidR="00204244" w:rsidRPr="00F40950">
        <w:rPr>
          <w:bCs/>
          <w:iCs/>
          <w:sz w:val="24"/>
        </w:rPr>
        <w:t>dell’Impero</w:t>
      </w:r>
      <w:proofErr w:type="spellEnd"/>
      <w:r w:rsidR="00204244" w:rsidRPr="00F40950">
        <w:rPr>
          <w:bCs/>
          <w:iCs/>
          <w:sz w:val="24"/>
        </w:rPr>
        <w:t xml:space="preserve">, </w:t>
      </w:r>
      <w:proofErr w:type="spellStart"/>
      <w:r w:rsidR="00204244" w:rsidRPr="00F40950">
        <w:rPr>
          <w:bCs/>
          <w:iCs/>
          <w:sz w:val="24"/>
        </w:rPr>
        <w:t>Collegio</w:t>
      </w:r>
      <w:proofErr w:type="spellEnd"/>
      <w:r w:rsidR="00204244" w:rsidRPr="00F40950">
        <w:rPr>
          <w:bCs/>
          <w:iCs/>
          <w:sz w:val="24"/>
        </w:rPr>
        <w:t xml:space="preserve"> </w:t>
      </w:r>
      <w:proofErr w:type="spellStart"/>
      <w:r w:rsidR="00204244" w:rsidRPr="00F40950">
        <w:rPr>
          <w:bCs/>
          <w:iCs/>
          <w:sz w:val="24"/>
        </w:rPr>
        <w:t>dei</w:t>
      </w:r>
      <w:proofErr w:type="spellEnd"/>
      <w:r w:rsidR="00204244" w:rsidRPr="00F40950">
        <w:rPr>
          <w:bCs/>
          <w:iCs/>
          <w:sz w:val="24"/>
        </w:rPr>
        <w:t xml:space="preserve"> </w:t>
      </w:r>
      <w:proofErr w:type="spellStart"/>
      <w:r w:rsidR="00204244" w:rsidRPr="00F40950">
        <w:rPr>
          <w:bCs/>
          <w:iCs/>
          <w:sz w:val="24"/>
        </w:rPr>
        <w:t>Diritti</w:t>
      </w:r>
      <w:proofErr w:type="spellEnd"/>
      <w:r w:rsidR="00204244" w:rsidRPr="00F40950">
        <w:rPr>
          <w:bCs/>
          <w:iCs/>
          <w:sz w:val="24"/>
        </w:rPr>
        <w:t xml:space="preserve"> </w:t>
      </w:r>
      <w:proofErr w:type="spellStart"/>
      <w:r w:rsidR="00204244" w:rsidRPr="00F40950">
        <w:rPr>
          <w:bCs/>
          <w:iCs/>
          <w:sz w:val="24"/>
        </w:rPr>
        <w:t>Antichi</w:t>
      </w:r>
      <w:proofErr w:type="spellEnd"/>
      <w:r w:rsidR="00204244" w:rsidRPr="00F40950">
        <w:rPr>
          <w:bCs/>
          <w:iCs/>
          <w:sz w:val="24"/>
        </w:rPr>
        <w:t xml:space="preserve"> (CEDANT)</w:t>
      </w:r>
      <w:r w:rsidR="00204244">
        <w:rPr>
          <w:bCs/>
          <w:iCs/>
          <w:sz w:val="24"/>
        </w:rPr>
        <w:t>.</w:t>
      </w:r>
      <w:r w:rsidR="00204244" w:rsidRPr="00204244">
        <w:rPr>
          <w:bCs/>
          <w:iCs/>
          <w:sz w:val="24"/>
        </w:rPr>
        <w:t xml:space="preserve"> </w:t>
      </w:r>
      <w:r w:rsidR="00204244" w:rsidRPr="00F40950">
        <w:rPr>
          <w:bCs/>
          <w:iCs/>
          <w:sz w:val="24"/>
        </w:rPr>
        <w:t>Pavia, Italy</w:t>
      </w:r>
      <w:r w:rsidR="00204244">
        <w:rPr>
          <w:bCs/>
          <w:iCs/>
          <w:sz w:val="24"/>
        </w:rPr>
        <w:t>.</w:t>
      </w:r>
      <w:r w:rsidR="00204244" w:rsidRPr="00F40950">
        <w:rPr>
          <w:bCs/>
          <w:iCs/>
          <w:sz w:val="24"/>
        </w:rPr>
        <w:t xml:space="preserve"> Jan. 23, 2014</w:t>
      </w:r>
      <w:r w:rsidR="00204244">
        <w:rPr>
          <w:bCs/>
          <w:iCs/>
          <w:sz w:val="24"/>
        </w:rPr>
        <w:t>.</w:t>
      </w:r>
    </w:p>
    <w:p w14:paraId="468CA16C" w14:textId="563E99D5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“Thinking about the ‘Edict of Milan’ as Law</w:t>
      </w:r>
      <w:r w:rsidR="006C306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>” Beijing Foreign St</w:t>
      </w:r>
      <w:r w:rsidR="00D45569" w:rsidRPr="00F40950">
        <w:rPr>
          <w:bCs/>
          <w:iCs/>
          <w:sz w:val="24"/>
        </w:rPr>
        <w:t>udies University</w:t>
      </w:r>
      <w:r w:rsidR="00204244">
        <w:rPr>
          <w:bCs/>
          <w:iCs/>
          <w:sz w:val="24"/>
        </w:rPr>
        <w:t>.</w:t>
      </w:r>
      <w:r w:rsidR="006C3068">
        <w:rPr>
          <w:bCs/>
          <w:iCs/>
          <w:sz w:val="24"/>
        </w:rPr>
        <w:t xml:space="preserve"> Beijing, China.</w:t>
      </w:r>
      <w:r w:rsidR="00D45569" w:rsidRPr="00F40950">
        <w:rPr>
          <w:bCs/>
          <w:iCs/>
          <w:sz w:val="24"/>
        </w:rPr>
        <w:t xml:space="preserve"> April 3, 2013</w:t>
      </w:r>
      <w:r w:rsidR="006C3068">
        <w:rPr>
          <w:bCs/>
          <w:iCs/>
          <w:sz w:val="24"/>
        </w:rPr>
        <w:t>.</w:t>
      </w:r>
    </w:p>
    <w:p w14:paraId="1C1977B1" w14:textId="7D87F537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“The Priests, the Goddess, and the Murder of Tiberius Gracchus: Roman Ritual on Foreign Soil</w:t>
      </w:r>
      <w:r w:rsidR="006C306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>” University of Hawaii at Manoa</w:t>
      </w:r>
      <w:r w:rsidR="006C306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Honolu</w:t>
      </w:r>
      <w:r w:rsidR="00D45569" w:rsidRPr="00F40950">
        <w:rPr>
          <w:bCs/>
          <w:iCs/>
          <w:sz w:val="24"/>
        </w:rPr>
        <w:t>lu</w:t>
      </w:r>
      <w:r w:rsidR="006C3068">
        <w:rPr>
          <w:bCs/>
          <w:iCs/>
          <w:sz w:val="24"/>
        </w:rPr>
        <w:t>, HI.</w:t>
      </w:r>
      <w:r w:rsidR="00D45569" w:rsidRPr="00F40950">
        <w:rPr>
          <w:bCs/>
          <w:iCs/>
          <w:sz w:val="24"/>
        </w:rPr>
        <w:t xml:space="preserve"> Feb. 5, 2013</w:t>
      </w:r>
      <w:r w:rsidR="006C3068">
        <w:rPr>
          <w:bCs/>
          <w:iCs/>
          <w:sz w:val="24"/>
        </w:rPr>
        <w:t>.</w:t>
      </w:r>
    </w:p>
    <w:p w14:paraId="18117168" w14:textId="0107806F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 xml:space="preserve">“The Misrepresentation of Religion in Cicero’s </w:t>
      </w:r>
      <w:proofErr w:type="spellStart"/>
      <w:r w:rsidRPr="00F40950">
        <w:rPr>
          <w:bCs/>
          <w:iCs/>
          <w:sz w:val="24"/>
        </w:rPr>
        <w:t>Verrine</w:t>
      </w:r>
      <w:proofErr w:type="spellEnd"/>
      <w:r w:rsidRPr="00F40950">
        <w:rPr>
          <w:bCs/>
          <w:iCs/>
          <w:sz w:val="24"/>
        </w:rPr>
        <w:t xml:space="preserve"> Orations</w:t>
      </w:r>
      <w:r w:rsidR="006C306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="00204244">
        <w:rPr>
          <w:bCs/>
          <w:iCs/>
          <w:sz w:val="24"/>
        </w:rPr>
        <w:t>For the a</w:t>
      </w:r>
      <w:r w:rsidRPr="00F40950">
        <w:rPr>
          <w:bCs/>
          <w:iCs/>
          <w:sz w:val="24"/>
        </w:rPr>
        <w:t xml:space="preserve">nnual </w:t>
      </w:r>
      <w:r w:rsidR="00204244">
        <w:rPr>
          <w:bCs/>
          <w:iCs/>
          <w:sz w:val="24"/>
        </w:rPr>
        <w:t>m</w:t>
      </w:r>
      <w:r w:rsidRPr="00F40950">
        <w:rPr>
          <w:bCs/>
          <w:iCs/>
          <w:sz w:val="24"/>
        </w:rPr>
        <w:t>eeting of the American Philological Association</w:t>
      </w:r>
      <w:r w:rsidR="006C3068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Se</w:t>
      </w:r>
      <w:r w:rsidR="00D45569" w:rsidRPr="00F40950">
        <w:rPr>
          <w:bCs/>
          <w:iCs/>
          <w:sz w:val="24"/>
        </w:rPr>
        <w:t>attle, W</w:t>
      </w:r>
      <w:r w:rsidR="006C3068">
        <w:rPr>
          <w:bCs/>
          <w:iCs/>
          <w:sz w:val="24"/>
        </w:rPr>
        <w:t>A.</w:t>
      </w:r>
      <w:r w:rsidR="00D45569" w:rsidRPr="00F40950">
        <w:rPr>
          <w:bCs/>
          <w:iCs/>
          <w:sz w:val="24"/>
        </w:rPr>
        <w:t xml:space="preserve"> Jan. 4, 2013</w:t>
      </w:r>
      <w:r w:rsidR="006C3068">
        <w:rPr>
          <w:bCs/>
          <w:iCs/>
          <w:sz w:val="24"/>
        </w:rPr>
        <w:t>.</w:t>
      </w:r>
    </w:p>
    <w:p w14:paraId="70386DC8" w14:textId="032EA335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 xml:space="preserve">“Cicero’s </w:t>
      </w:r>
      <w:proofErr w:type="spellStart"/>
      <w:r w:rsidRPr="00F40950">
        <w:rPr>
          <w:bCs/>
          <w:iCs/>
          <w:sz w:val="24"/>
        </w:rPr>
        <w:t>Verrine</w:t>
      </w:r>
      <w:proofErr w:type="spellEnd"/>
      <w:r w:rsidRPr="00F40950">
        <w:rPr>
          <w:bCs/>
          <w:iCs/>
          <w:sz w:val="24"/>
        </w:rPr>
        <w:t xml:space="preserve"> Orations: Looting and Drama at </w:t>
      </w:r>
      <w:proofErr w:type="spellStart"/>
      <w:r w:rsidRPr="00F40950">
        <w:rPr>
          <w:bCs/>
          <w:iCs/>
          <w:sz w:val="24"/>
        </w:rPr>
        <w:t>Lampsacus</w:t>
      </w:r>
      <w:proofErr w:type="spellEnd"/>
      <w:r w:rsidR="008007B4">
        <w:rPr>
          <w:bCs/>
          <w:iCs/>
          <w:sz w:val="24"/>
        </w:rPr>
        <w:t>,</w:t>
      </w:r>
      <w:r w:rsidRPr="00F40950">
        <w:rPr>
          <w:bCs/>
          <w:iCs/>
          <w:sz w:val="24"/>
        </w:rPr>
        <w:t xml:space="preserve">” </w:t>
      </w:r>
      <w:r w:rsidR="00204244">
        <w:rPr>
          <w:bCs/>
          <w:iCs/>
          <w:sz w:val="24"/>
        </w:rPr>
        <w:t xml:space="preserve">For the </w:t>
      </w:r>
      <w:r w:rsidRPr="00F40950">
        <w:rPr>
          <w:bCs/>
          <w:iCs/>
          <w:sz w:val="24"/>
        </w:rPr>
        <w:t>Sixth-Form Classics Conference, Classical Association of the South West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Unive</w:t>
      </w:r>
      <w:r w:rsidR="00D45569" w:rsidRPr="00F40950">
        <w:rPr>
          <w:bCs/>
          <w:iCs/>
          <w:sz w:val="24"/>
        </w:rPr>
        <w:t xml:space="preserve">rsity of Exeter, </w:t>
      </w:r>
      <w:r w:rsidR="00190AE6">
        <w:rPr>
          <w:bCs/>
          <w:iCs/>
          <w:sz w:val="24"/>
        </w:rPr>
        <w:t xml:space="preserve">Exeter, UK. </w:t>
      </w:r>
      <w:r w:rsidR="00D45569" w:rsidRPr="00F40950">
        <w:rPr>
          <w:bCs/>
          <w:iCs/>
          <w:sz w:val="24"/>
        </w:rPr>
        <w:t>March 17, 2012</w:t>
      </w:r>
      <w:r w:rsidR="00190AE6">
        <w:rPr>
          <w:bCs/>
          <w:iCs/>
          <w:sz w:val="24"/>
        </w:rPr>
        <w:t>.</w:t>
      </w:r>
    </w:p>
    <w:p w14:paraId="3FD88B0A" w14:textId="0D852025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“The Invention of Prejudice against C. Verres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>” Newca</w:t>
      </w:r>
      <w:r w:rsidR="00D45569" w:rsidRPr="00F40950">
        <w:rPr>
          <w:bCs/>
          <w:iCs/>
          <w:sz w:val="24"/>
        </w:rPr>
        <w:t>stle University</w:t>
      </w:r>
      <w:r w:rsidR="00204244">
        <w:rPr>
          <w:bCs/>
          <w:iCs/>
          <w:sz w:val="24"/>
        </w:rPr>
        <w:t>.</w:t>
      </w:r>
      <w:r w:rsidR="00190AE6">
        <w:rPr>
          <w:bCs/>
          <w:iCs/>
          <w:sz w:val="24"/>
        </w:rPr>
        <w:t xml:space="preserve"> Newcastle, UK.</w:t>
      </w:r>
      <w:r w:rsidR="00D45569" w:rsidRPr="00F40950">
        <w:rPr>
          <w:bCs/>
          <w:iCs/>
          <w:sz w:val="24"/>
        </w:rPr>
        <w:t xml:space="preserve"> March 30, 2011</w:t>
      </w:r>
      <w:r w:rsidR="00190AE6">
        <w:rPr>
          <w:bCs/>
          <w:iCs/>
          <w:sz w:val="24"/>
        </w:rPr>
        <w:t>.</w:t>
      </w:r>
    </w:p>
    <w:p w14:paraId="715AE25C" w14:textId="68035E31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 xml:space="preserve">“Religious Norms and Cultural Realities: Roman Religion </w:t>
      </w:r>
      <w:proofErr w:type="gramStart"/>
      <w:r w:rsidRPr="00F40950">
        <w:rPr>
          <w:bCs/>
          <w:iCs/>
          <w:sz w:val="24"/>
        </w:rPr>
        <w:t>From</w:t>
      </w:r>
      <w:proofErr w:type="gramEnd"/>
      <w:r w:rsidRPr="00F40950">
        <w:rPr>
          <w:bCs/>
          <w:iCs/>
          <w:sz w:val="24"/>
        </w:rPr>
        <w:t xml:space="preserve"> Praeneste to Delphi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="00204244">
        <w:rPr>
          <w:bCs/>
          <w:iCs/>
          <w:sz w:val="24"/>
        </w:rPr>
        <w:t>For the c</w:t>
      </w:r>
      <w:r w:rsidRPr="00F40950">
        <w:rPr>
          <w:bCs/>
          <w:iCs/>
          <w:sz w:val="24"/>
        </w:rPr>
        <w:t xml:space="preserve">onference Normative </w:t>
      </w:r>
      <w:proofErr w:type="spellStart"/>
      <w:r w:rsidRPr="00F40950">
        <w:rPr>
          <w:bCs/>
          <w:iCs/>
          <w:sz w:val="24"/>
        </w:rPr>
        <w:t>Raumordnungen</w:t>
      </w:r>
      <w:proofErr w:type="spellEnd"/>
      <w:r w:rsidRPr="00F40950">
        <w:rPr>
          <w:bCs/>
          <w:iCs/>
          <w:sz w:val="24"/>
        </w:rPr>
        <w:t xml:space="preserve"> in den </w:t>
      </w:r>
      <w:proofErr w:type="spellStart"/>
      <w:r w:rsidRPr="00F40950">
        <w:rPr>
          <w:bCs/>
          <w:iCs/>
          <w:sz w:val="24"/>
        </w:rPr>
        <w:t>Kulturen</w:t>
      </w:r>
      <w:proofErr w:type="spellEnd"/>
      <w:r w:rsidRPr="00F40950">
        <w:rPr>
          <w:bCs/>
          <w:iCs/>
          <w:sz w:val="24"/>
        </w:rPr>
        <w:t xml:space="preserve"> des </w:t>
      </w:r>
      <w:proofErr w:type="spellStart"/>
      <w:r w:rsidRPr="00F40950">
        <w:rPr>
          <w:bCs/>
          <w:iCs/>
          <w:sz w:val="24"/>
        </w:rPr>
        <w:t>Altertums</w:t>
      </w:r>
      <w:proofErr w:type="spellEnd"/>
      <w:r w:rsidRPr="00F40950">
        <w:rPr>
          <w:bCs/>
          <w:iCs/>
          <w:sz w:val="24"/>
        </w:rPr>
        <w:t xml:space="preserve"> / The Normative Order of Space </w:t>
      </w:r>
      <w:r w:rsidR="00204244" w:rsidRPr="00F40950">
        <w:rPr>
          <w:bCs/>
          <w:iCs/>
          <w:sz w:val="24"/>
        </w:rPr>
        <w:t>in European</w:t>
      </w:r>
      <w:r w:rsidRPr="00F40950">
        <w:rPr>
          <w:bCs/>
          <w:iCs/>
          <w:sz w:val="24"/>
        </w:rPr>
        <w:t xml:space="preserve"> Antiquity and the Ancient Near East (March 9–11, 2011)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Heidelberger Akademie der </w:t>
      </w:r>
      <w:proofErr w:type="spellStart"/>
      <w:r w:rsidRPr="00F40950">
        <w:rPr>
          <w:bCs/>
          <w:iCs/>
          <w:sz w:val="24"/>
        </w:rPr>
        <w:t>Wissenschaf</w:t>
      </w:r>
      <w:r w:rsidR="00064941" w:rsidRPr="00F40950">
        <w:rPr>
          <w:bCs/>
          <w:iCs/>
          <w:sz w:val="24"/>
        </w:rPr>
        <w:t>ten</w:t>
      </w:r>
      <w:proofErr w:type="spellEnd"/>
      <w:r w:rsidR="00190AE6">
        <w:rPr>
          <w:bCs/>
          <w:iCs/>
          <w:sz w:val="24"/>
        </w:rPr>
        <w:t>.</w:t>
      </w:r>
      <w:r w:rsidR="00064941" w:rsidRPr="00F40950">
        <w:rPr>
          <w:bCs/>
          <w:iCs/>
          <w:sz w:val="24"/>
        </w:rPr>
        <w:t xml:space="preserve"> Heidelberg, </w:t>
      </w:r>
      <w:r w:rsidR="00190AE6">
        <w:rPr>
          <w:bCs/>
          <w:iCs/>
          <w:sz w:val="24"/>
        </w:rPr>
        <w:t xml:space="preserve">Germany. </w:t>
      </w:r>
      <w:r w:rsidR="00064941" w:rsidRPr="00F40950">
        <w:rPr>
          <w:bCs/>
          <w:iCs/>
          <w:sz w:val="24"/>
        </w:rPr>
        <w:t>March 10, 2011</w:t>
      </w:r>
      <w:r w:rsidR="00190AE6">
        <w:rPr>
          <w:bCs/>
          <w:iCs/>
          <w:sz w:val="24"/>
        </w:rPr>
        <w:t>.</w:t>
      </w:r>
    </w:p>
    <w:p w14:paraId="46AADA8F" w14:textId="7EBE6431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 xml:space="preserve">“Quo </w:t>
      </w:r>
      <w:proofErr w:type="spellStart"/>
      <w:r w:rsidRPr="00F40950">
        <w:rPr>
          <w:bCs/>
          <w:iCs/>
          <w:sz w:val="24"/>
        </w:rPr>
        <w:t>usque</w:t>
      </w:r>
      <w:proofErr w:type="spellEnd"/>
      <w:r w:rsidRPr="00F40950">
        <w:rPr>
          <w:bCs/>
          <w:iCs/>
          <w:sz w:val="24"/>
        </w:rPr>
        <w:t xml:space="preserve"> tandem: Cicero’s First Catilinarian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="00204244">
        <w:rPr>
          <w:bCs/>
          <w:iCs/>
          <w:sz w:val="24"/>
        </w:rPr>
        <w:t xml:space="preserve">For the </w:t>
      </w:r>
      <w:r w:rsidRPr="00F40950">
        <w:rPr>
          <w:bCs/>
          <w:iCs/>
          <w:sz w:val="24"/>
        </w:rPr>
        <w:t>Sixth-Form Classics Conference</w:t>
      </w:r>
      <w:r w:rsidR="00204244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Classical Association of the South West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Univ</w:t>
      </w:r>
      <w:r w:rsidR="00064941" w:rsidRPr="00F40950">
        <w:rPr>
          <w:bCs/>
          <w:iCs/>
          <w:sz w:val="24"/>
        </w:rPr>
        <w:t>ersity of Exeter</w:t>
      </w:r>
      <w:r w:rsidR="00190AE6">
        <w:rPr>
          <w:bCs/>
          <w:iCs/>
          <w:sz w:val="24"/>
        </w:rPr>
        <w:t xml:space="preserve">. Exeter, UK. </w:t>
      </w:r>
      <w:r w:rsidR="00064941" w:rsidRPr="00F40950">
        <w:rPr>
          <w:bCs/>
          <w:iCs/>
          <w:sz w:val="24"/>
        </w:rPr>
        <w:t>March 5, 2011</w:t>
      </w:r>
      <w:r w:rsidR="00190AE6">
        <w:rPr>
          <w:bCs/>
          <w:iCs/>
          <w:sz w:val="24"/>
        </w:rPr>
        <w:t>.</w:t>
      </w:r>
    </w:p>
    <w:p w14:paraId="238F7299" w14:textId="506AC61B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lastRenderedPageBreak/>
        <w:t xml:space="preserve">“Roman Sacral Law Outside of Rome: Roman Magistrates and </w:t>
      </w:r>
      <w:r w:rsidRPr="00190AE6">
        <w:rPr>
          <w:bCs/>
          <w:i/>
          <w:sz w:val="24"/>
        </w:rPr>
        <w:t>sacra peregrina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="00204244">
        <w:rPr>
          <w:bCs/>
          <w:iCs/>
          <w:sz w:val="24"/>
        </w:rPr>
        <w:t>For the w</w:t>
      </w:r>
      <w:r w:rsidRPr="00F40950">
        <w:rPr>
          <w:bCs/>
          <w:iCs/>
          <w:sz w:val="24"/>
        </w:rPr>
        <w:t>orkshop The Impact of Rome on Cult Places and Religion in Italy: New Approaches to Change and Continuity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Royal Netherlands Institute at Rome</w:t>
      </w:r>
      <w:r w:rsidR="00190AE6">
        <w:rPr>
          <w:bCs/>
          <w:iCs/>
          <w:sz w:val="24"/>
        </w:rPr>
        <w:t>. Rome, Italy.</w:t>
      </w:r>
      <w:r w:rsidRPr="00F40950">
        <w:rPr>
          <w:bCs/>
          <w:iCs/>
          <w:sz w:val="24"/>
        </w:rPr>
        <w:t xml:space="preserve"> May 21, 2010</w:t>
      </w:r>
      <w:r w:rsidR="00190AE6">
        <w:rPr>
          <w:bCs/>
          <w:iCs/>
          <w:sz w:val="24"/>
        </w:rPr>
        <w:t>.</w:t>
      </w:r>
    </w:p>
    <w:p w14:paraId="512C1878" w14:textId="584891DD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“Roman Magistrates and Foreign Sanctuaries in the Roman Republic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>” Department of Classics and Ancient History, University of Exeter</w:t>
      </w:r>
      <w:r w:rsidR="00190AE6">
        <w:rPr>
          <w:bCs/>
          <w:iCs/>
          <w:sz w:val="24"/>
        </w:rPr>
        <w:t>. Exeter, UK.</w:t>
      </w:r>
      <w:r w:rsidRPr="00F40950">
        <w:rPr>
          <w:bCs/>
          <w:iCs/>
          <w:sz w:val="24"/>
        </w:rPr>
        <w:t xml:space="preserve"> May 6, 2010</w:t>
      </w:r>
      <w:r w:rsidR="00190AE6">
        <w:rPr>
          <w:bCs/>
          <w:iCs/>
          <w:sz w:val="24"/>
        </w:rPr>
        <w:t>.</w:t>
      </w:r>
    </w:p>
    <w:p w14:paraId="23B398F9" w14:textId="1969ACEA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</w:t>
      </w:r>
      <w:proofErr w:type="spellStart"/>
      <w:r w:rsidRPr="00F40950">
        <w:rPr>
          <w:bCs/>
          <w:iCs/>
          <w:sz w:val="24"/>
        </w:rPr>
        <w:t>Akklamationen</w:t>
      </w:r>
      <w:proofErr w:type="spellEnd"/>
      <w:r w:rsidRPr="00F40950">
        <w:rPr>
          <w:bCs/>
          <w:iCs/>
          <w:sz w:val="24"/>
        </w:rPr>
        <w:t xml:space="preserve"> und die </w:t>
      </w:r>
      <w:proofErr w:type="spellStart"/>
      <w:r w:rsidRPr="00F40950">
        <w:rPr>
          <w:bCs/>
          <w:iCs/>
          <w:sz w:val="24"/>
        </w:rPr>
        <w:t>Kontrolle</w:t>
      </w:r>
      <w:proofErr w:type="spellEnd"/>
      <w:r w:rsidRPr="00F40950">
        <w:rPr>
          <w:bCs/>
          <w:iCs/>
          <w:sz w:val="24"/>
        </w:rPr>
        <w:t xml:space="preserve"> der </w:t>
      </w:r>
      <w:proofErr w:type="spellStart"/>
      <w:r w:rsidRPr="00F40950">
        <w:rPr>
          <w:bCs/>
          <w:iCs/>
          <w:sz w:val="24"/>
        </w:rPr>
        <w:t>Verwaltung</w:t>
      </w:r>
      <w:proofErr w:type="spellEnd"/>
      <w:r w:rsidRPr="00F40950">
        <w:rPr>
          <w:bCs/>
          <w:iCs/>
          <w:sz w:val="24"/>
        </w:rPr>
        <w:t xml:space="preserve"> </w:t>
      </w:r>
      <w:proofErr w:type="spellStart"/>
      <w:r w:rsidRPr="00F40950">
        <w:rPr>
          <w:bCs/>
          <w:iCs/>
          <w:sz w:val="24"/>
        </w:rPr>
        <w:t>unter</w:t>
      </w:r>
      <w:proofErr w:type="spellEnd"/>
      <w:r w:rsidRPr="00F40950">
        <w:rPr>
          <w:bCs/>
          <w:iCs/>
          <w:sz w:val="24"/>
        </w:rPr>
        <w:t xml:space="preserve"> Konstantin</w:t>
      </w:r>
      <w:r w:rsidR="00190AE6">
        <w:rPr>
          <w:bCs/>
          <w:iCs/>
          <w:sz w:val="24"/>
        </w:rPr>
        <w:t>.</w:t>
      </w:r>
      <w:r w:rsidR="008007B4">
        <w:rPr>
          <w:bCs/>
          <w:iCs/>
          <w:sz w:val="24"/>
        </w:rPr>
        <w:t>”</w:t>
      </w:r>
      <w:r w:rsidR="00204244">
        <w:rPr>
          <w:bCs/>
          <w:iCs/>
          <w:sz w:val="24"/>
        </w:rPr>
        <w:t xml:space="preserve"> For the c</w:t>
      </w:r>
      <w:r w:rsidRPr="00F40950">
        <w:rPr>
          <w:bCs/>
          <w:iCs/>
          <w:sz w:val="24"/>
        </w:rPr>
        <w:t>onference Contested Monarchy: Integrating the Roman Empire in the 4th Century AD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Universität Konstanz</w:t>
      </w:r>
      <w:r w:rsidR="00190AE6">
        <w:rPr>
          <w:bCs/>
          <w:iCs/>
          <w:sz w:val="24"/>
        </w:rPr>
        <w:t>. Konstanz, Germany.</w:t>
      </w:r>
      <w:r w:rsidRPr="00F40950">
        <w:rPr>
          <w:bCs/>
          <w:iCs/>
          <w:sz w:val="24"/>
        </w:rPr>
        <w:t xml:space="preserve"> July 9, 2009</w:t>
      </w:r>
      <w:r w:rsidR="00190AE6">
        <w:rPr>
          <w:bCs/>
          <w:iCs/>
          <w:sz w:val="24"/>
        </w:rPr>
        <w:t>.</w:t>
      </w:r>
    </w:p>
    <w:p w14:paraId="3C005915" w14:textId="4426FBC8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“The Inflation of Rank and Privilege in the Later Roman Empire, Its Causes and Consequences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="00204244">
        <w:rPr>
          <w:bCs/>
          <w:iCs/>
          <w:sz w:val="24"/>
        </w:rPr>
        <w:t>For the c</w:t>
      </w:r>
      <w:r w:rsidRPr="00F40950">
        <w:rPr>
          <w:bCs/>
          <w:iCs/>
          <w:sz w:val="24"/>
        </w:rPr>
        <w:t>onference Centralization and Particularism in Late Antiquity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Meeting of the International Network for the Study of Late Antiquity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University of Tennessee, Knoxville</w:t>
      </w:r>
      <w:r w:rsidR="00190AE6">
        <w:rPr>
          <w:bCs/>
          <w:iCs/>
          <w:sz w:val="24"/>
        </w:rPr>
        <w:t>. Knoxville, TN.</w:t>
      </w:r>
      <w:r w:rsidRPr="00F40950">
        <w:rPr>
          <w:bCs/>
          <w:iCs/>
          <w:sz w:val="24"/>
        </w:rPr>
        <w:t xml:space="preserve"> May 22, 2009</w:t>
      </w:r>
      <w:r w:rsidR="00190AE6">
        <w:rPr>
          <w:bCs/>
          <w:iCs/>
          <w:sz w:val="24"/>
        </w:rPr>
        <w:t>.</w:t>
      </w:r>
    </w:p>
    <w:p w14:paraId="74663F2F" w14:textId="234944E5" w:rsidR="00981583" w:rsidRPr="00BB2AC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  <w:lang w:val="de-DE"/>
        </w:rPr>
      </w:pPr>
      <w:r w:rsidRPr="00F40950">
        <w:rPr>
          <w:bCs/>
          <w:iCs/>
          <w:sz w:val="24"/>
        </w:rPr>
        <w:t>“Formal Elements of the Edicts of Constantine the Great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="00204244">
        <w:rPr>
          <w:bCs/>
          <w:iCs/>
          <w:sz w:val="24"/>
        </w:rPr>
        <w:t>For the a</w:t>
      </w:r>
      <w:r w:rsidRPr="00F40950">
        <w:rPr>
          <w:bCs/>
          <w:iCs/>
          <w:sz w:val="24"/>
        </w:rPr>
        <w:t xml:space="preserve">nnual meeting of the Société </w:t>
      </w:r>
      <w:proofErr w:type="spellStart"/>
      <w:r w:rsidRPr="00F40950">
        <w:rPr>
          <w:bCs/>
          <w:iCs/>
          <w:sz w:val="24"/>
        </w:rPr>
        <w:t>Internationale</w:t>
      </w:r>
      <w:proofErr w:type="spellEnd"/>
      <w:r w:rsidRPr="00F40950">
        <w:rPr>
          <w:bCs/>
          <w:iCs/>
          <w:sz w:val="24"/>
        </w:rPr>
        <w:t xml:space="preserve"> Fernand de Visscher pour </w:t>
      </w:r>
      <w:proofErr w:type="spellStart"/>
      <w:r w:rsidRPr="00F40950">
        <w:rPr>
          <w:bCs/>
          <w:iCs/>
          <w:sz w:val="24"/>
        </w:rPr>
        <w:t>l’Histoire</w:t>
      </w:r>
      <w:proofErr w:type="spellEnd"/>
      <w:r w:rsidRPr="00F40950">
        <w:rPr>
          <w:bCs/>
          <w:iCs/>
          <w:sz w:val="24"/>
        </w:rPr>
        <w:t xml:space="preserve"> des Droits de </w:t>
      </w:r>
      <w:proofErr w:type="spellStart"/>
      <w:r w:rsidRPr="00F40950">
        <w:rPr>
          <w:bCs/>
          <w:iCs/>
          <w:sz w:val="24"/>
        </w:rPr>
        <w:t>l’Antiquité</w:t>
      </w:r>
      <w:proofErr w:type="spellEnd"/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</w:t>
      </w:r>
      <w:r w:rsidRPr="00BB2AC0">
        <w:rPr>
          <w:bCs/>
          <w:iCs/>
          <w:sz w:val="24"/>
          <w:lang w:val="de-DE"/>
        </w:rPr>
        <w:t>Università di Catania</w:t>
      </w:r>
      <w:r w:rsidR="00190AE6" w:rsidRPr="00BB2AC0">
        <w:rPr>
          <w:bCs/>
          <w:iCs/>
          <w:sz w:val="24"/>
          <w:lang w:val="de-DE"/>
        </w:rPr>
        <w:t>. Catania, Italy.</w:t>
      </w:r>
      <w:r w:rsidRPr="00BB2AC0">
        <w:rPr>
          <w:bCs/>
          <w:iCs/>
          <w:sz w:val="24"/>
          <w:lang w:val="de-DE"/>
        </w:rPr>
        <w:t xml:space="preserve"> Sept. 25–29, 2007</w:t>
      </w:r>
      <w:r w:rsidR="00190AE6" w:rsidRPr="00BB2AC0">
        <w:rPr>
          <w:bCs/>
          <w:iCs/>
          <w:sz w:val="24"/>
          <w:lang w:val="de-DE"/>
        </w:rPr>
        <w:t>.</w:t>
      </w:r>
    </w:p>
    <w:p w14:paraId="1192F5FF" w14:textId="77539395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BB2AC0">
        <w:rPr>
          <w:bCs/>
          <w:iCs/>
          <w:sz w:val="24"/>
          <w:lang w:val="de-DE"/>
        </w:rPr>
        <w:t>“Spätantike Bürokratie bei der Arbeit: Die Inschrift von Didyma</w:t>
      </w:r>
      <w:r w:rsidR="00190AE6" w:rsidRPr="00BB2AC0">
        <w:rPr>
          <w:bCs/>
          <w:iCs/>
          <w:sz w:val="24"/>
          <w:lang w:val="de-DE"/>
        </w:rPr>
        <w:t>.</w:t>
      </w:r>
      <w:r w:rsidRPr="00BB2AC0">
        <w:rPr>
          <w:bCs/>
          <w:iCs/>
          <w:sz w:val="24"/>
          <w:lang w:val="de-DE"/>
        </w:rPr>
        <w:t xml:space="preserve">” </w:t>
      </w:r>
      <w:r w:rsidR="00204244" w:rsidRPr="00BB2AC0">
        <w:rPr>
          <w:bCs/>
          <w:iCs/>
          <w:sz w:val="24"/>
          <w:lang w:val="de-DE"/>
        </w:rPr>
        <w:t xml:space="preserve">For the </w:t>
      </w:r>
      <w:r w:rsidRPr="00BB2AC0">
        <w:rPr>
          <w:bCs/>
          <w:iCs/>
          <w:sz w:val="24"/>
          <w:lang w:val="de-DE"/>
        </w:rPr>
        <w:t>Antikrechtliches Seminar, Ludwig-Maximilians-Universität München</w:t>
      </w:r>
      <w:r w:rsidR="00190AE6" w:rsidRPr="00BB2AC0">
        <w:rPr>
          <w:bCs/>
          <w:iCs/>
          <w:sz w:val="24"/>
          <w:lang w:val="de-DE"/>
        </w:rPr>
        <w:t>.</w:t>
      </w:r>
      <w:r w:rsidRPr="00BB2AC0">
        <w:rPr>
          <w:bCs/>
          <w:iCs/>
          <w:sz w:val="24"/>
          <w:lang w:val="de-DE"/>
        </w:rPr>
        <w:t xml:space="preserve"> Munich</w:t>
      </w:r>
      <w:r w:rsidR="00190AE6" w:rsidRPr="00BB2AC0">
        <w:rPr>
          <w:bCs/>
          <w:iCs/>
          <w:sz w:val="24"/>
          <w:lang w:val="de-DE"/>
        </w:rPr>
        <w:t>, Germany.</w:t>
      </w:r>
      <w:r w:rsidRPr="00BB2AC0">
        <w:rPr>
          <w:bCs/>
          <w:iCs/>
          <w:sz w:val="24"/>
          <w:lang w:val="de-DE"/>
        </w:rPr>
        <w:t xml:space="preserve"> </w:t>
      </w:r>
      <w:r w:rsidRPr="00F40950">
        <w:rPr>
          <w:bCs/>
          <w:iCs/>
          <w:sz w:val="24"/>
        </w:rPr>
        <w:t>Jan. 31, 2006</w:t>
      </w:r>
      <w:r w:rsidR="00190AE6">
        <w:rPr>
          <w:bCs/>
          <w:iCs/>
          <w:sz w:val="24"/>
        </w:rPr>
        <w:t>.</w:t>
      </w:r>
    </w:p>
    <w:p w14:paraId="4DF3FE4B" w14:textId="3FD9E976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 xml:space="preserve">“The Composition of Gratian’s Cases,” and roundtable discussion “Gratian, the </w:t>
      </w:r>
      <w:proofErr w:type="spellStart"/>
      <w:r w:rsidRPr="00F40950">
        <w:rPr>
          <w:bCs/>
          <w:iCs/>
          <w:sz w:val="24"/>
        </w:rPr>
        <w:t>Decretum</w:t>
      </w:r>
      <w:proofErr w:type="spellEnd"/>
      <w:r w:rsidRPr="00F40950">
        <w:rPr>
          <w:bCs/>
          <w:iCs/>
          <w:sz w:val="24"/>
        </w:rPr>
        <w:t xml:space="preserve"> and Recent Research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” </w:t>
      </w:r>
      <w:r w:rsidR="00204244">
        <w:rPr>
          <w:bCs/>
          <w:iCs/>
          <w:sz w:val="24"/>
        </w:rPr>
        <w:t xml:space="preserve">For the </w:t>
      </w:r>
      <w:r w:rsidRPr="00F40950">
        <w:rPr>
          <w:bCs/>
          <w:iCs/>
          <w:sz w:val="24"/>
        </w:rPr>
        <w:t>International Congress of Medieval Canon Law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Catholic University of America</w:t>
      </w:r>
      <w:r w:rsidR="00190AE6">
        <w:rPr>
          <w:bCs/>
          <w:iCs/>
          <w:sz w:val="24"/>
        </w:rPr>
        <w:t>.</w:t>
      </w:r>
      <w:r w:rsidRPr="00F40950">
        <w:rPr>
          <w:bCs/>
          <w:iCs/>
          <w:sz w:val="24"/>
        </w:rPr>
        <w:t xml:space="preserve"> Washington D.C.</w:t>
      </w:r>
      <w:r w:rsidR="00190AE6">
        <w:rPr>
          <w:bCs/>
          <w:iCs/>
          <w:sz w:val="24"/>
        </w:rPr>
        <w:t xml:space="preserve"> </w:t>
      </w:r>
      <w:r w:rsidRPr="00F40950">
        <w:rPr>
          <w:bCs/>
          <w:iCs/>
          <w:sz w:val="24"/>
        </w:rPr>
        <w:t>August 2–7, 2004</w:t>
      </w:r>
      <w:r w:rsidR="00190AE6">
        <w:rPr>
          <w:bCs/>
          <w:iCs/>
          <w:sz w:val="24"/>
        </w:rPr>
        <w:t>.</w:t>
      </w:r>
    </w:p>
    <w:p w14:paraId="246F681A" w14:textId="77777777" w:rsidR="00981583" w:rsidRPr="00F40950" w:rsidRDefault="00981583" w:rsidP="008723FF">
      <w:pPr>
        <w:pStyle w:val="Heading1"/>
        <w:spacing w:line="360" w:lineRule="auto"/>
        <w:rPr>
          <w:rFonts w:ascii="Times New Roman" w:hAnsi="Times New Roman" w:cs="Times New Roman"/>
        </w:rPr>
      </w:pPr>
      <w:r w:rsidRPr="00F40950">
        <w:rPr>
          <w:rFonts w:ascii="Times New Roman" w:hAnsi="Times New Roman" w:cs="Times New Roman"/>
        </w:rPr>
        <w:t>Teaching</w:t>
      </w:r>
    </w:p>
    <w:p w14:paraId="60F973A7" w14:textId="4D55948A" w:rsidR="000D3101" w:rsidRDefault="008723FF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>
        <w:rPr>
          <w:bCs/>
          <w:iCs/>
          <w:sz w:val="24"/>
        </w:rPr>
        <w:t xml:space="preserve">Classical </w:t>
      </w:r>
      <w:r w:rsidR="00981583" w:rsidRPr="00F40950">
        <w:rPr>
          <w:bCs/>
          <w:iCs/>
          <w:sz w:val="24"/>
        </w:rPr>
        <w:t>Latin</w:t>
      </w:r>
      <w:r>
        <w:rPr>
          <w:bCs/>
          <w:iCs/>
          <w:sz w:val="24"/>
        </w:rPr>
        <w:t xml:space="preserve"> authors</w:t>
      </w:r>
      <w:r w:rsidR="00981583" w:rsidRPr="00F40950">
        <w:rPr>
          <w:bCs/>
          <w:iCs/>
          <w:sz w:val="24"/>
        </w:rPr>
        <w:t>:</w:t>
      </w:r>
      <w:r w:rsidR="000D3101" w:rsidRPr="00F40950">
        <w:rPr>
          <w:bCs/>
          <w:iCs/>
          <w:sz w:val="24"/>
        </w:rPr>
        <w:t xml:space="preserve"> </w:t>
      </w:r>
      <w:r w:rsidR="00064941" w:rsidRPr="00F40950">
        <w:rPr>
          <w:bCs/>
          <w:iCs/>
          <w:sz w:val="24"/>
        </w:rPr>
        <w:t xml:space="preserve">Apuleius, </w:t>
      </w:r>
      <w:r w:rsidR="000D3101" w:rsidRPr="00F40950">
        <w:rPr>
          <w:bCs/>
          <w:iCs/>
          <w:sz w:val="24"/>
        </w:rPr>
        <w:t>Augustine,</w:t>
      </w:r>
      <w:r>
        <w:rPr>
          <w:bCs/>
          <w:iCs/>
          <w:sz w:val="24"/>
        </w:rPr>
        <w:t xml:space="preserve"> </w:t>
      </w:r>
      <w:r w:rsidR="00D06F4B">
        <w:rPr>
          <w:bCs/>
          <w:iCs/>
          <w:sz w:val="24"/>
        </w:rPr>
        <w:t xml:space="preserve">Caesar, </w:t>
      </w:r>
      <w:r>
        <w:rPr>
          <w:bCs/>
          <w:iCs/>
          <w:sz w:val="24"/>
        </w:rPr>
        <w:t>Catullus,</w:t>
      </w:r>
      <w:r w:rsidR="000D3101" w:rsidRPr="00F40950">
        <w:rPr>
          <w:bCs/>
          <w:iCs/>
          <w:sz w:val="24"/>
        </w:rPr>
        <w:t xml:space="preserve"> </w:t>
      </w:r>
      <w:r w:rsidR="00064941" w:rsidRPr="00F40950">
        <w:rPr>
          <w:bCs/>
          <w:iCs/>
          <w:sz w:val="24"/>
        </w:rPr>
        <w:t xml:space="preserve">Cicero, </w:t>
      </w:r>
      <w:r w:rsidR="00981583" w:rsidRPr="00F40950">
        <w:rPr>
          <w:bCs/>
          <w:iCs/>
          <w:sz w:val="24"/>
        </w:rPr>
        <w:t>Cornelius Nepos</w:t>
      </w:r>
      <w:r w:rsidR="00064941" w:rsidRPr="00F40950">
        <w:rPr>
          <w:bCs/>
          <w:iCs/>
          <w:sz w:val="24"/>
        </w:rPr>
        <w:t xml:space="preserve">, Juvenal, Horace’s </w:t>
      </w:r>
      <w:r w:rsidR="00064941" w:rsidRPr="00F40950">
        <w:rPr>
          <w:bCs/>
          <w:i/>
          <w:iCs/>
          <w:sz w:val="24"/>
        </w:rPr>
        <w:t>Odes</w:t>
      </w:r>
      <w:r w:rsidR="00064941" w:rsidRPr="00F40950">
        <w:rPr>
          <w:bCs/>
          <w:iCs/>
          <w:sz w:val="24"/>
        </w:rPr>
        <w:t xml:space="preserve">, </w:t>
      </w:r>
      <w:r>
        <w:rPr>
          <w:bCs/>
          <w:iCs/>
          <w:sz w:val="24"/>
        </w:rPr>
        <w:t>Lucretius</w:t>
      </w:r>
      <w:r w:rsidR="00D06F4B">
        <w:rPr>
          <w:bCs/>
          <w:iCs/>
          <w:sz w:val="24"/>
        </w:rPr>
        <w:t xml:space="preserve">, Ovid’s </w:t>
      </w:r>
      <w:r w:rsidR="00D06F4B" w:rsidRPr="00D06F4B">
        <w:rPr>
          <w:bCs/>
          <w:i/>
          <w:sz w:val="24"/>
        </w:rPr>
        <w:t>Fasti</w:t>
      </w:r>
    </w:p>
    <w:p w14:paraId="5EAB3E26" w14:textId="1FDACB44" w:rsidR="008723FF" w:rsidRPr="00F40950" w:rsidRDefault="008723FF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>
        <w:rPr>
          <w:bCs/>
          <w:iCs/>
          <w:sz w:val="24"/>
        </w:rPr>
        <w:t xml:space="preserve">Medieval Latin authors: Medieval Latin Mystics, Peter Abelard, </w:t>
      </w:r>
      <w:r w:rsidRPr="00F40950">
        <w:rPr>
          <w:bCs/>
          <w:iCs/>
          <w:sz w:val="24"/>
        </w:rPr>
        <w:t>Survey of Medieval Latin</w:t>
      </w:r>
      <w:r>
        <w:rPr>
          <w:bCs/>
          <w:iCs/>
          <w:sz w:val="24"/>
        </w:rPr>
        <w:t>, Medieval Latin Workshop (a wide range of authors)</w:t>
      </w:r>
    </w:p>
    <w:p w14:paraId="5CD6AF13" w14:textId="533C0B9D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Greek: Lucian</w:t>
      </w:r>
      <w:r w:rsidR="008723FF">
        <w:rPr>
          <w:bCs/>
          <w:iCs/>
          <w:sz w:val="24"/>
        </w:rPr>
        <w:t xml:space="preserve"> of Samosata</w:t>
      </w:r>
    </w:p>
    <w:p w14:paraId="39CED2E7" w14:textId="5B684CE0" w:rsidR="00981583" w:rsidRPr="00F40950" w:rsidRDefault="008723FF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>
        <w:rPr>
          <w:bCs/>
          <w:iCs/>
          <w:sz w:val="24"/>
        </w:rPr>
        <w:t xml:space="preserve">Ancient </w:t>
      </w:r>
      <w:r w:rsidR="00981583" w:rsidRPr="00F40950">
        <w:rPr>
          <w:bCs/>
          <w:iCs/>
          <w:sz w:val="24"/>
        </w:rPr>
        <w:t>History:</w:t>
      </w:r>
      <w:r w:rsidR="00064941" w:rsidRPr="00F40950">
        <w:rPr>
          <w:bCs/>
          <w:iCs/>
          <w:sz w:val="24"/>
        </w:rPr>
        <w:t xml:space="preserve"> </w:t>
      </w:r>
      <w:r w:rsidR="00981583" w:rsidRPr="00F40950">
        <w:rPr>
          <w:bCs/>
          <w:iCs/>
          <w:sz w:val="24"/>
        </w:rPr>
        <w:t>Roman Republic</w:t>
      </w:r>
      <w:r w:rsidR="00064941" w:rsidRPr="00F40950">
        <w:rPr>
          <w:bCs/>
          <w:iCs/>
          <w:sz w:val="24"/>
        </w:rPr>
        <w:t>,</w:t>
      </w:r>
      <w:r w:rsidR="00981583" w:rsidRPr="00F40950">
        <w:rPr>
          <w:bCs/>
          <w:iCs/>
          <w:sz w:val="24"/>
        </w:rPr>
        <w:t xml:space="preserve"> Roman Empire</w:t>
      </w:r>
      <w:r w:rsidR="00064941" w:rsidRPr="00F40950">
        <w:rPr>
          <w:bCs/>
          <w:iCs/>
          <w:sz w:val="24"/>
        </w:rPr>
        <w:t xml:space="preserve">, </w:t>
      </w:r>
      <w:r w:rsidR="00981583" w:rsidRPr="00F40950">
        <w:rPr>
          <w:bCs/>
          <w:iCs/>
          <w:sz w:val="24"/>
        </w:rPr>
        <w:t>The Fourth Century A.D.</w:t>
      </w:r>
      <w:r w:rsidR="00064941" w:rsidRPr="00F40950">
        <w:rPr>
          <w:bCs/>
          <w:iCs/>
          <w:sz w:val="24"/>
        </w:rPr>
        <w:t xml:space="preserve">, </w:t>
      </w:r>
      <w:r w:rsidR="00981583" w:rsidRPr="00F40950">
        <w:rPr>
          <w:bCs/>
          <w:iCs/>
          <w:sz w:val="24"/>
        </w:rPr>
        <w:t>Roman Religion</w:t>
      </w:r>
      <w:r w:rsidR="00064941" w:rsidRPr="00F40950">
        <w:rPr>
          <w:bCs/>
          <w:iCs/>
          <w:sz w:val="24"/>
        </w:rPr>
        <w:t xml:space="preserve">, </w:t>
      </w:r>
      <w:r w:rsidR="00981583" w:rsidRPr="00F40950">
        <w:rPr>
          <w:bCs/>
          <w:iCs/>
          <w:sz w:val="24"/>
        </w:rPr>
        <w:t xml:space="preserve">Research Methods </w:t>
      </w:r>
      <w:r w:rsidR="00064941" w:rsidRPr="00F40950">
        <w:rPr>
          <w:bCs/>
          <w:iCs/>
          <w:sz w:val="24"/>
        </w:rPr>
        <w:t xml:space="preserve">in Classics, </w:t>
      </w:r>
      <w:r w:rsidRPr="00F40950">
        <w:rPr>
          <w:bCs/>
          <w:iCs/>
          <w:sz w:val="24"/>
        </w:rPr>
        <w:t>Roman Legend and Myth</w:t>
      </w:r>
      <w:r>
        <w:rPr>
          <w:bCs/>
          <w:iCs/>
          <w:sz w:val="24"/>
        </w:rPr>
        <w:t xml:space="preserve">, </w:t>
      </w:r>
      <w:r w:rsidR="00981583" w:rsidRPr="00F40950">
        <w:rPr>
          <w:bCs/>
          <w:iCs/>
          <w:sz w:val="24"/>
        </w:rPr>
        <w:t>Western Civilization</w:t>
      </w:r>
    </w:p>
    <w:p w14:paraId="4E7DB59E" w14:textId="10AA5801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Senior thesis advisor</w:t>
      </w:r>
      <w:r w:rsidR="00064941" w:rsidRPr="00F40950">
        <w:rPr>
          <w:bCs/>
          <w:iCs/>
          <w:sz w:val="24"/>
        </w:rPr>
        <w:t xml:space="preserve">, MA thesis advisor, </w:t>
      </w:r>
      <w:r w:rsidRPr="00F40950">
        <w:rPr>
          <w:bCs/>
          <w:iCs/>
          <w:sz w:val="24"/>
        </w:rPr>
        <w:t>D</w:t>
      </w:r>
      <w:r w:rsidR="00064941" w:rsidRPr="00F40950">
        <w:rPr>
          <w:bCs/>
          <w:iCs/>
          <w:sz w:val="24"/>
        </w:rPr>
        <w:t>irector of MA in Mythology (</w:t>
      </w:r>
      <w:r w:rsidRPr="00F40950">
        <w:rPr>
          <w:bCs/>
          <w:iCs/>
          <w:sz w:val="24"/>
        </w:rPr>
        <w:t>Exeter</w:t>
      </w:r>
      <w:r w:rsidR="008723FF">
        <w:rPr>
          <w:bCs/>
          <w:iCs/>
          <w:sz w:val="24"/>
        </w:rPr>
        <w:t>, UK</w:t>
      </w:r>
      <w:r w:rsidRPr="00F40950">
        <w:rPr>
          <w:bCs/>
          <w:iCs/>
          <w:sz w:val="24"/>
        </w:rPr>
        <w:t>)</w:t>
      </w:r>
    </w:p>
    <w:p w14:paraId="47AD5619" w14:textId="77777777" w:rsidR="00981583" w:rsidRPr="00F40950" w:rsidRDefault="00981583" w:rsidP="008723FF">
      <w:pPr>
        <w:pStyle w:val="Heading1"/>
        <w:spacing w:line="360" w:lineRule="auto"/>
        <w:rPr>
          <w:rFonts w:ascii="Times New Roman" w:hAnsi="Times New Roman" w:cs="Times New Roman"/>
        </w:rPr>
      </w:pPr>
      <w:r w:rsidRPr="00F40950">
        <w:rPr>
          <w:rFonts w:ascii="Times New Roman" w:hAnsi="Times New Roman" w:cs="Times New Roman"/>
        </w:rPr>
        <w:t>Languages</w:t>
      </w:r>
    </w:p>
    <w:p w14:paraId="5FCCE5E8" w14:textId="77777777" w:rsidR="00981583" w:rsidRPr="00F40950" w:rsidRDefault="00064941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t>Scholarly</w:t>
      </w:r>
      <w:r w:rsidR="00981583" w:rsidRPr="00F40950">
        <w:rPr>
          <w:bCs/>
          <w:iCs/>
          <w:sz w:val="24"/>
        </w:rPr>
        <w:t>: Latin, Ancient Greek</w:t>
      </w:r>
      <w:r w:rsidRPr="00F40950">
        <w:rPr>
          <w:bCs/>
          <w:iCs/>
          <w:sz w:val="24"/>
        </w:rPr>
        <w:t>, Medieval German</w:t>
      </w:r>
    </w:p>
    <w:p w14:paraId="529CD38A" w14:textId="67305689" w:rsidR="00981583" w:rsidRPr="00F40950" w:rsidRDefault="00981583" w:rsidP="008723FF">
      <w:pPr>
        <w:pStyle w:val="BodyTextIndent2"/>
        <w:tabs>
          <w:tab w:val="left" w:pos="540"/>
        </w:tabs>
        <w:spacing w:after="120" w:line="360" w:lineRule="auto"/>
        <w:ind w:left="540" w:hanging="270"/>
        <w:contextualSpacing/>
        <w:rPr>
          <w:bCs/>
          <w:iCs/>
          <w:sz w:val="24"/>
        </w:rPr>
      </w:pPr>
      <w:r w:rsidRPr="00F40950">
        <w:rPr>
          <w:bCs/>
          <w:iCs/>
          <w:sz w:val="24"/>
        </w:rPr>
        <w:lastRenderedPageBreak/>
        <w:t>Modern: English, German</w:t>
      </w:r>
      <w:r w:rsidR="008723FF">
        <w:rPr>
          <w:bCs/>
          <w:iCs/>
          <w:sz w:val="24"/>
        </w:rPr>
        <w:t xml:space="preserve"> (fluent);</w:t>
      </w:r>
      <w:r w:rsidRPr="00F40950">
        <w:rPr>
          <w:bCs/>
          <w:iCs/>
          <w:sz w:val="24"/>
        </w:rPr>
        <w:t xml:space="preserve"> </w:t>
      </w:r>
      <w:r w:rsidR="00064941" w:rsidRPr="00F40950">
        <w:rPr>
          <w:bCs/>
          <w:iCs/>
          <w:sz w:val="24"/>
        </w:rPr>
        <w:t xml:space="preserve">French, </w:t>
      </w:r>
      <w:r w:rsidRPr="00F40950">
        <w:rPr>
          <w:bCs/>
          <w:iCs/>
          <w:sz w:val="24"/>
        </w:rPr>
        <w:t>Italian</w:t>
      </w:r>
      <w:r w:rsidR="008723FF">
        <w:rPr>
          <w:bCs/>
          <w:iCs/>
          <w:sz w:val="24"/>
        </w:rPr>
        <w:t xml:space="preserve"> (proficient);</w:t>
      </w:r>
      <w:r w:rsidRPr="00F40950">
        <w:rPr>
          <w:bCs/>
          <w:iCs/>
          <w:sz w:val="24"/>
        </w:rPr>
        <w:t xml:space="preserve"> Spanish (reading), Mandarin Chinese (basic spoken</w:t>
      </w:r>
      <w:r w:rsidR="008723FF">
        <w:rPr>
          <w:bCs/>
          <w:iCs/>
          <w:sz w:val="24"/>
        </w:rPr>
        <w:t xml:space="preserve"> and reading</w:t>
      </w:r>
      <w:r w:rsidRPr="00F40950">
        <w:rPr>
          <w:bCs/>
          <w:iCs/>
          <w:sz w:val="24"/>
        </w:rPr>
        <w:t>)</w:t>
      </w:r>
    </w:p>
    <w:sectPr w:rsidR="00981583" w:rsidRPr="00F40950" w:rsidSect="00BB2AC0">
      <w:type w:val="continuous"/>
      <w:pgSz w:w="12240" w:h="15840" w:code="1"/>
      <w:pgMar w:top="1440" w:right="1109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D1E"/>
    <w:multiLevelType w:val="hybridMultilevel"/>
    <w:tmpl w:val="F4424DCC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BCF"/>
    <w:multiLevelType w:val="hybridMultilevel"/>
    <w:tmpl w:val="19BEEB9E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06AA"/>
    <w:multiLevelType w:val="hybridMultilevel"/>
    <w:tmpl w:val="C534E412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06CA"/>
    <w:multiLevelType w:val="hybridMultilevel"/>
    <w:tmpl w:val="55E838AC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0DA2"/>
    <w:multiLevelType w:val="hybridMultilevel"/>
    <w:tmpl w:val="51E41F00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5DD0"/>
    <w:multiLevelType w:val="hybridMultilevel"/>
    <w:tmpl w:val="91BEC4A0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C49E5"/>
    <w:multiLevelType w:val="hybridMultilevel"/>
    <w:tmpl w:val="447A788A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2CBA"/>
    <w:multiLevelType w:val="hybridMultilevel"/>
    <w:tmpl w:val="2580EB4C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F6E13"/>
    <w:multiLevelType w:val="hybridMultilevel"/>
    <w:tmpl w:val="3D624A42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25EB"/>
    <w:multiLevelType w:val="hybridMultilevel"/>
    <w:tmpl w:val="D35CED62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C081D"/>
    <w:multiLevelType w:val="hybridMultilevel"/>
    <w:tmpl w:val="F27AE64A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80CBC"/>
    <w:multiLevelType w:val="hybridMultilevel"/>
    <w:tmpl w:val="5B729E48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40650"/>
    <w:multiLevelType w:val="hybridMultilevel"/>
    <w:tmpl w:val="99D4F036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A42F3"/>
    <w:multiLevelType w:val="hybridMultilevel"/>
    <w:tmpl w:val="486606EE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7C9"/>
    <w:multiLevelType w:val="hybridMultilevel"/>
    <w:tmpl w:val="B8C0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E63C8"/>
    <w:multiLevelType w:val="hybridMultilevel"/>
    <w:tmpl w:val="60A03F18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D56BE"/>
    <w:multiLevelType w:val="hybridMultilevel"/>
    <w:tmpl w:val="126E7ECC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F4920"/>
    <w:multiLevelType w:val="hybridMultilevel"/>
    <w:tmpl w:val="2F4E180A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C4A10"/>
    <w:multiLevelType w:val="hybridMultilevel"/>
    <w:tmpl w:val="71F6769E"/>
    <w:lvl w:ilvl="0" w:tplc="7E3C50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3542AB"/>
    <w:multiLevelType w:val="hybridMultilevel"/>
    <w:tmpl w:val="9878D952"/>
    <w:lvl w:ilvl="0" w:tplc="7E3C5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4"/>
  </w:num>
  <w:num w:numId="5">
    <w:abstractNumId w:val="15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19"/>
  </w:num>
  <w:num w:numId="11">
    <w:abstractNumId w:val="0"/>
  </w:num>
  <w:num w:numId="12">
    <w:abstractNumId w:val="12"/>
  </w:num>
  <w:num w:numId="13">
    <w:abstractNumId w:val="6"/>
  </w:num>
  <w:num w:numId="14">
    <w:abstractNumId w:val="16"/>
  </w:num>
  <w:num w:numId="15">
    <w:abstractNumId w:val="2"/>
  </w:num>
  <w:num w:numId="16">
    <w:abstractNumId w:val="7"/>
  </w:num>
  <w:num w:numId="17">
    <w:abstractNumId w:val="10"/>
  </w:num>
  <w:num w:numId="18">
    <w:abstractNumId w:val="13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4A"/>
    <w:rsid w:val="0000215A"/>
    <w:rsid w:val="0001149F"/>
    <w:rsid w:val="0001430C"/>
    <w:rsid w:val="00014F09"/>
    <w:rsid w:val="00015B8A"/>
    <w:rsid w:val="00017F87"/>
    <w:rsid w:val="00023DAD"/>
    <w:rsid w:val="00037FCF"/>
    <w:rsid w:val="00052D02"/>
    <w:rsid w:val="00064941"/>
    <w:rsid w:val="000649AA"/>
    <w:rsid w:val="00083F26"/>
    <w:rsid w:val="0009369D"/>
    <w:rsid w:val="000B17B7"/>
    <w:rsid w:val="000B2199"/>
    <w:rsid w:val="000C725D"/>
    <w:rsid w:val="000D2875"/>
    <w:rsid w:val="000D3101"/>
    <w:rsid w:val="000D4DC4"/>
    <w:rsid w:val="00103424"/>
    <w:rsid w:val="00123430"/>
    <w:rsid w:val="001270D9"/>
    <w:rsid w:val="00135EB0"/>
    <w:rsid w:val="001360F1"/>
    <w:rsid w:val="00136B8F"/>
    <w:rsid w:val="00141C6F"/>
    <w:rsid w:val="00143EA8"/>
    <w:rsid w:val="00147DE4"/>
    <w:rsid w:val="0015542E"/>
    <w:rsid w:val="001567F4"/>
    <w:rsid w:val="00190AE6"/>
    <w:rsid w:val="001925A7"/>
    <w:rsid w:val="001B4E6A"/>
    <w:rsid w:val="001D50A0"/>
    <w:rsid w:val="001F7498"/>
    <w:rsid w:val="00202820"/>
    <w:rsid w:val="002040AC"/>
    <w:rsid w:val="00204244"/>
    <w:rsid w:val="00211A8A"/>
    <w:rsid w:val="00211FE4"/>
    <w:rsid w:val="002374BF"/>
    <w:rsid w:val="00251245"/>
    <w:rsid w:val="00257608"/>
    <w:rsid w:val="00281F3E"/>
    <w:rsid w:val="00285060"/>
    <w:rsid w:val="00285F76"/>
    <w:rsid w:val="00287378"/>
    <w:rsid w:val="00293427"/>
    <w:rsid w:val="002A201B"/>
    <w:rsid w:val="002A69C4"/>
    <w:rsid w:val="002A7C02"/>
    <w:rsid w:val="003027E7"/>
    <w:rsid w:val="003144B8"/>
    <w:rsid w:val="00315A28"/>
    <w:rsid w:val="003166A3"/>
    <w:rsid w:val="003361CF"/>
    <w:rsid w:val="00336754"/>
    <w:rsid w:val="003367A8"/>
    <w:rsid w:val="00364383"/>
    <w:rsid w:val="003646E8"/>
    <w:rsid w:val="0036735E"/>
    <w:rsid w:val="0037238A"/>
    <w:rsid w:val="00373C4A"/>
    <w:rsid w:val="00377A0A"/>
    <w:rsid w:val="00377DB3"/>
    <w:rsid w:val="00384BE1"/>
    <w:rsid w:val="003913A0"/>
    <w:rsid w:val="003A1E84"/>
    <w:rsid w:val="003A2BC6"/>
    <w:rsid w:val="003C080C"/>
    <w:rsid w:val="003D2E0A"/>
    <w:rsid w:val="003E059B"/>
    <w:rsid w:val="003F2CC2"/>
    <w:rsid w:val="004048EB"/>
    <w:rsid w:val="00452ED5"/>
    <w:rsid w:val="00453EEB"/>
    <w:rsid w:val="004605CA"/>
    <w:rsid w:val="00474C18"/>
    <w:rsid w:val="00483873"/>
    <w:rsid w:val="00484ACC"/>
    <w:rsid w:val="00486CDF"/>
    <w:rsid w:val="00494285"/>
    <w:rsid w:val="004963C2"/>
    <w:rsid w:val="004A0207"/>
    <w:rsid w:val="004A09E7"/>
    <w:rsid w:val="004A0A7D"/>
    <w:rsid w:val="004C6925"/>
    <w:rsid w:val="004D3210"/>
    <w:rsid w:val="004E28BC"/>
    <w:rsid w:val="004E59C9"/>
    <w:rsid w:val="00513F80"/>
    <w:rsid w:val="0052354E"/>
    <w:rsid w:val="0052373C"/>
    <w:rsid w:val="00525028"/>
    <w:rsid w:val="00541377"/>
    <w:rsid w:val="005418CB"/>
    <w:rsid w:val="00544F59"/>
    <w:rsid w:val="00554354"/>
    <w:rsid w:val="005551B7"/>
    <w:rsid w:val="00572AAD"/>
    <w:rsid w:val="00575232"/>
    <w:rsid w:val="00586133"/>
    <w:rsid w:val="00590815"/>
    <w:rsid w:val="005973A1"/>
    <w:rsid w:val="005B79AC"/>
    <w:rsid w:val="005C3D18"/>
    <w:rsid w:val="005D168C"/>
    <w:rsid w:val="005E3BCF"/>
    <w:rsid w:val="005E61D1"/>
    <w:rsid w:val="005E6791"/>
    <w:rsid w:val="005F64A7"/>
    <w:rsid w:val="00614B12"/>
    <w:rsid w:val="006152D2"/>
    <w:rsid w:val="006231B7"/>
    <w:rsid w:val="00623B95"/>
    <w:rsid w:val="006276EA"/>
    <w:rsid w:val="006378A2"/>
    <w:rsid w:val="0065328D"/>
    <w:rsid w:val="00662F5B"/>
    <w:rsid w:val="00665961"/>
    <w:rsid w:val="00695D45"/>
    <w:rsid w:val="006A27F0"/>
    <w:rsid w:val="006C3068"/>
    <w:rsid w:val="006C72CA"/>
    <w:rsid w:val="006F69E6"/>
    <w:rsid w:val="00700839"/>
    <w:rsid w:val="00723105"/>
    <w:rsid w:val="00731CC5"/>
    <w:rsid w:val="007369CE"/>
    <w:rsid w:val="00744617"/>
    <w:rsid w:val="00747800"/>
    <w:rsid w:val="00757802"/>
    <w:rsid w:val="0076301D"/>
    <w:rsid w:val="00767894"/>
    <w:rsid w:val="00771F85"/>
    <w:rsid w:val="00782868"/>
    <w:rsid w:val="0078372F"/>
    <w:rsid w:val="00796DCA"/>
    <w:rsid w:val="007A2EA8"/>
    <w:rsid w:val="007C53B1"/>
    <w:rsid w:val="007E0452"/>
    <w:rsid w:val="007E29F2"/>
    <w:rsid w:val="008007B4"/>
    <w:rsid w:val="00806AD3"/>
    <w:rsid w:val="00815BA2"/>
    <w:rsid w:val="00822ADF"/>
    <w:rsid w:val="008320F7"/>
    <w:rsid w:val="00852947"/>
    <w:rsid w:val="00863C09"/>
    <w:rsid w:val="008723FF"/>
    <w:rsid w:val="008729F8"/>
    <w:rsid w:val="00883BFB"/>
    <w:rsid w:val="008A26CE"/>
    <w:rsid w:val="008F7865"/>
    <w:rsid w:val="008F79B3"/>
    <w:rsid w:val="00906C9E"/>
    <w:rsid w:val="00916792"/>
    <w:rsid w:val="00920872"/>
    <w:rsid w:val="0092556D"/>
    <w:rsid w:val="00937420"/>
    <w:rsid w:val="00937636"/>
    <w:rsid w:val="0094568D"/>
    <w:rsid w:val="00947F70"/>
    <w:rsid w:val="00966E16"/>
    <w:rsid w:val="00970A4E"/>
    <w:rsid w:val="0097399F"/>
    <w:rsid w:val="00981583"/>
    <w:rsid w:val="0099776F"/>
    <w:rsid w:val="009A2673"/>
    <w:rsid w:val="009A2E5C"/>
    <w:rsid w:val="009A7532"/>
    <w:rsid w:val="009C674A"/>
    <w:rsid w:val="009D370C"/>
    <w:rsid w:val="009D5899"/>
    <w:rsid w:val="009E01B1"/>
    <w:rsid w:val="009E0EE1"/>
    <w:rsid w:val="009E27CC"/>
    <w:rsid w:val="00A03B06"/>
    <w:rsid w:val="00A124BD"/>
    <w:rsid w:val="00A16B74"/>
    <w:rsid w:val="00A170C3"/>
    <w:rsid w:val="00A32F70"/>
    <w:rsid w:val="00A415C2"/>
    <w:rsid w:val="00A41DEC"/>
    <w:rsid w:val="00A50758"/>
    <w:rsid w:val="00A63C34"/>
    <w:rsid w:val="00A66650"/>
    <w:rsid w:val="00A71CB0"/>
    <w:rsid w:val="00A92DE9"/>
    <w:rsid w:val="00AA6665"/>
    <w:rsid w:val="00AB69B9"/>
    <w:rsid w:val="00AC38AA"/>
    <w:rsid w:val="00AE5630"/>
    <w:rsid w:val="00AF010E"/>
    <w:rsid w:val="00AF57E6"/>
    <w:rsid w:val="00AF5869"/>
    <w:rsid w:val="00B0353F"/>
    <w:rsid w:val="00B22CE8"/>
    <w:rsid w:val="00B312E1"/>
    <w:rsid w:val="00B35431"/>
    <w:rsid w:val="00B43BDA"/>
    <w:rsid w:val="00B75E72"/>
    <w:rsid w:val="00B8083B"/>
    <w:rsid w:val="00B812DC"/>
    <w:rsid w:val="00B84544"/>
    <w:rsid w:val="00B85507"/>
    <w:rsid w:val="00B861EB"/>
    <w:rsid w:val="00B94A55"/>
    <w:rsid w:val="00BA56B3"/>
    <w:rsid w:val="00BB2AC0"/>
    <w:rsid w:val="00BB567C"/>
    <w:rsid w:val="00BC224A"/>
    <w:rsid w:val="00BD2AE7"/>
    <w:rsid w:val="00BD7BFD"/>
    <w:rsid w:val="00BF706C"/>
    <w:rsid w:val="00C31127"/>
    <w:rsid w:val="00C40622"/>
    <w:rsid w:val="00C40DD6"/>
    <w:rsid w:val="00C511E1"/>
    <w:rsid w:val="00C546E3"/>
    <w:rsid w:val="00C77C27"/>
    <w:rsid w:val="00C9424F"/>
    <w:rsid w:val="00CB0DE1"/>
    <w:rsid w:val="00CC121F"/>
    <w:rsid w:val="00CE4370"/>
    <w:rsid w:val="00CF775F"/>
    <w:rsid w:val="00D047F0"/>
    <w:rsid w:val="00D05E23"/>
    <w:rsid w:val="00D06E0B"/>
    <w:rsid w:val="00D06F4B"/>
    <w:rsid w:val="00D15261"/>
    <w:rsid w:val="00D16AAD"/>
    <w:rsid w:val="00D25B8C"/>
    <w:rsid w:val="00D30B78"/>
    <w:rsid w:val="00D359C0"/>
    <w:rsid w:val="00D37483"/>
    <w:rsid w:val="00D45569"/>
    <w:rsid w:val="00D45770"/>
    <w:rsid w:val="00D459F1"/>
    <w:rsid w:val="00D46BE4"/>
    <w:rsid w:val="00D47BCC"/>
    <w:rsid w:val="00D57A5E"/>
    <w:rsid w:val="00D65A82"/>
    <w:rsid w:val="00D72854"/>
    <w:rsid w:val="00D760B5"/>
    <w:rsid w:val="00D92210"/>
    <w:rsid w:val="00D94C9E"/>
    <w:rsid w:val="00D97FBF"/>
    <w:rsid w:val="00DC08D2"/>
    <w:rsid w:val="00DC5B20"/>
    <w:rsid w:val="00E01133"/>
    <w:rsid w:val="00E03E6C"/>
    <w:rsid w:val="00E13850"/>
    <w:rsid w:val="00E13BA2"/>
    <w:rsid w:val="00E17CD3"/>
    <w:rsid w:val="00E462E8"/>
    <w:rsid w:val="00E53F54"/>
    <w:rsid w:val="00E540D5"/>
    <w:rsid w:val="00E64561"/>
    <w:rsid w:val="00E64DCF"/>
    <w:rsid w:val="00E65837"/>
    <w:rsid w:val="00E66328"/>
    <w:rsid w:val="00E77C7D"/>
    <w:rsid w:val="00EB0434"/>
    <w:rsid w:val="00ED23C7"/>
    <w:rsid w:val="00ED571A"/>
    <w:rsid w:val="00ED7EEC"/>
    <w:rsid w:val="00EE1F59"/>
    <w:rsid w:val="00EE7C3D"/>
    <w:rsid w:val="00F0342F"/>
    <w:rsid w:val="00F1389A"/>
    <w:rsid w:val="00F21644"/>
    <w:rsid w:val="00F22AC5"/>
    <w:rsid w:val="00F25574"/>
    <w:rsid w:val="00F27F71"/>
    <w:rsid w:val="00F377B9"/>
    <w:rsid w:val="00F40950"/>
    <w:rsid w:val="00F44EDC"/>
    <w:rsid w:val="00F470EB"/>
    <w:rsid w:val="00F5393B"/>
    <w:rsid w:val="00F53C75"/>
    <w:rsid w:val="00F62747"/>
    <w:rsid w:val="00F876E6"/>
    <w:rsid w:val="00F9735B"/>
    <w:rsid w:val="00FB4EB1"/>
    <w:rsid w:val="00FC199B"/>
    <w:rsid w:val="00FC4EDC"/>
    <w:rsid w:val="00FE2BE2"/>
    <w:rsid w:val="00FE375A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FBB63"/>
  <w15:docId w15:val="{E51612A0-3D17-42B9-951A-1C68223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1F85"/>
    <w:rPr>
      <w:sz w:val="24"/>
      <w:szCs w:val="24"/>
    </w:rPr>
  </w:style>
  <w:style w:type="paragraph" w:styleId="Heading1">
    <w:name w:val="heading 1"/>
    <w:basedOn w:val="Normal"/>
    <w:next w:val="Normal"/>
    <w:qFormat/>
    <w:rsid w:val="00E66328"/>
    <w:pPr>
      <w:keepNext/>
      <w:outlineLvl w:val="0"/>
    </w:pPr>
    <w:rPr>
      <w:rFonts w:asciiTheme="minorHAnsi" w:hAnsiTheme="minorHAnsi" w:cstheme="minorHAnsi"/>
      <w:b/>
      <w:bCs/>
    </w:rPr>
  </w:style>
  <w:style w:type="paragraph" w:styleId="Heading2">
    <w:name w:val="heading 2"/>
    <w:basedOn w:val="Normal"/>
    <w:next w:val="Normal"/>
    <w:qFormat/>
    <w:rsid w:val="00771F85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771F85"/>
    <w:pPr>
      <w:keepNext/>
      <w:tabs>
        <w:tab w:val="left" w:pos="360"/>
      </w:tabs>
      <w:ind w:left="360" w:hanging="360"/>
      <w:outlineLvl w:val="2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F85"/>
    <w:rPr>
      <w:color w:val="0000FF"/>
      <w:u w:val="single"/>
    </w:rPr>
  </w:style>
  <w:style w:type="character" w:styleId="FollowedHyperlink">
    <w:name w:val="FollowedHyperlink"/>
    <w:basedOn w:val="DefaultParagraphFont"/>
    <w:rsid w:val="00771F85"/>
    <w:rPr>
      <w:color w:val="800080"/>
      <w:u w:val="single"/>
    </w:rPr>
  </w:style>
  <w:style w:type="paragraph" w:styleId="FootnoteText">
    <w:name w:val="footnote text"/>
    <w:basedOn w:val="Normal"/>
    <w:semiHidden/>
    <w:rsid w:val="00771F85"/>
    <w:pPr>
      <w:spacing w:after="120"/>
    </w:pPr>
    <w:rPr>
      <w:iCs/>
      <w:sz w:val="20"/>
      <w:szCs w:val="20"/>
    </w:rPr>
  </w:style>
  <w:style w:type="character" w:styleId="FootnoteReference">
    <w:name w:val="footnote reference"/>
    <w:semiHidden/>
    <w:rsid w:val="00771F85"/>
    <w:rPr>
      <w:sz w:val="20"/>
      <w:szCs w:val="20"/>
      <w:vertAlign w:val="superscript"/>
    </w:rPr>
  </w:style>
  <w:style w:type="paragraph" w:styleId="BodyTextIndent">
    <w:name w:val="Body Text Indent"/>
    <w:basedOn w:val="Normal"/>
    <w:rsid w:val="00771F85"/>
    <w:pPr>
      <w:ind w:left="360" w:hanging="360"/>
    </w:pPr>
    <w:rPr>
      <w:sz w:val="22"/>
    </w:rPr>
  </w:style>
  <w:style w:type="paragraph" w:styleId="Header">
    <w:name w:val="header"/>
    <w:basedOn w:val="Normal"/>
    <w:rsid w:val="00771F85"/>
    <w:pPr>
      <w:tabs>
        <w:tab w:val="center" w:pos="4320"/>
        <w:tab w:val="right" w:pos="8640"/>
      </w:tabs>
    </w:pPr>
    <w:rPr>
      <w:rFonts w:ascii="Times" w:hAnsi="Times"/>
      <w:szCs w:val="20"/>
      <w:lang w:eastAsia="fr-FR"/>
    </w:rPr>
  </w:style>
  <w:style w:type="paragraph" w:styleId="BodyText">
    <w:name w:val="Body Text"/>
    <w:basedOn w:val="Normal"/>
    <w:rsid w:val="00771F85"/>
    <w:rPr>
      <w:sz w:val="22"/>
    </w:rPr>
  </w:style>
  <w:style w:type="paragraph" w:styleId="BodyTextIndent2">
    <w:name w:val="Body Text Indent 2"/>
    <w:basedOn w:val="Normal"/>
    <w:rsid w:val="00771F85"/>
    <w:pPr>
      <w:ind w:left="1080" w:hanging="1080"/>
    </w:pPr>
    <w:rPr>
      <w:sz w:val="22"/>
    </w:rPr>
  </w:style>
  <w:style w:type="paragraph" w:styleId="Title">
    <w:name w:val="Title"/>
    <w:basedOn w:val="Normal"/>
    <w:qFormat/>
    <w:rsid w:val="00771F85"/>
    <w:pPr>
      <w:jc w:val="center"/>
    </w:pPr>
    <w:rPr>
      <w:b/>
      <w:bCs/>
      <w:sz w:val="28"/>
    </w:rPr>
  </w:style>
  <w:style w:type="character" w:styleId="Emphasis">
    <w:name w:val="Emphasis"/>
    <w:basedOn w:val="DefaultParagraphFont"/>
    <w:qFormat/>
    <w:rsid w:val="00771F85"/>
    <w:rPr>
      <w:i/>
      <w:iCs/>
    </w:rPr>
  </w:style>
  <w:style w:type="paragraph" w:customStyle="1" w:styleId="Style1">
    <w:name w:val="Style1"/>
    <w:basedOn w:val="Heading1"/>
    <w:rsid w:val="00A124BD"/>
    <w:pPr>
      <w:spacing w:line="360" w:lineRule="auto"/>
    </w:pPr>
    <w:rPr>
      <w:sz w:val="22"/>
      <w:szCs w:val="22"/>
    </w:rPr>
  </w:style>
  <w:style w:type="paragraph" w:customStyle="1" w:styleId="CVHeadings">
    <w:name w:val="CV Headings"/>
    <w:basedOn w:val="Heading1"/>
    <w:rsid w:val="00A124BD"/>
    <w:pPr>
      <w:spacing w:before="120"/>
    </w:pPr>
    <w:rPr>
      <w:sz w:val="22"/>
    </w:rPr>
  </w:style>
  <w:style w:type="character" w:styleId="CommentReference">
    <w:name w:val="annotation reference"/>
    <w:basedOn w:val="DefaultParagraphFont"/>
    <w:rsid w:val="00B861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61EB"/>
  </w:style>
  <w:style w:type="paragraph" w:styleId="CommentSubject">
    <w:name w:val="annotation subject"/>
    <w:basedOn w:val="CommentText"/>
    <w:next w:val="CommentText"/>
    <w:link w:val="CommentSubjectChar"/>
    <w:rsid w:val="00B86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61EB"/>
    <w:rPr>
      <w:b/>
      <w:bCs/>
    </w:rPr>
  </w:style>
  <w:style w:type="paragraph" w:styleId="BalloonText">
    <w:name w:val="Balloon Text"/>
    <w:basedOn w:val="Normal"/>
    <w:link w:val="BalloonTextChar"/>
    <w:rsid w:val="00B8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DD6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6632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2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iganclassicalpress.com/" TargetMode="External"/><Relationship Id="rId13" Type="http://schemas.openxmlformats.org/officeDocument/2006/relationships/hyperlink" Target="https://hsozkult.geschichte.hu-berlin.de/rezensionen/2012-1-030.pdf" TargetMode="External"/><Relationship Id="rId18" Type="http://schemas.openxmlformats.org/officeDocument/2006/relationships/hyperlink" Target="https://bmcr.brynmawr.edu/2007/2007.07.5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ess.umich.edu/9394529/birth_of_the_archive" TargetMode="External"/><Relationship Id="rId12" Type="http://schemas.openxmlformats.org/officeDocument/2006/relationships/hyperlink" Target="https://bmcr.brynmawr.edu/2012/2012.08.52/" TargetMode="External"/><Relationship Id="rId17" Type="http://schemas.openxmlformats.org/officeDocument/2006/relationships/hyperlink" Target="https://bmcr.brynmawr.edu/2010/2010.04.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mcr.brynmawr.edu/2011/2011.07.3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rill.com/view/serial/EEMH" TargetMode="External"/><Relationship Id="rId11" Type="http://schemas.openxmlformats.org/officeDocument/2006/relationships/hyperlink" Target="https://sites.google.com/a/yale.edu/decretumgratiani/" TargetMode="External"/><Relationship Id="rId5" Type="http://schemas.openxmlformats.org/officeDocument/2006/relationships/hyperlink" Target="https://press.princeton.edu/books/hardcover/9780691180120/the-jesuits" TargetMode="External"/><Relationship Id="rId15" Type="http://schemas.openxmlformats.org/officeDocument/2006/relationships/hyperlink" Target="https://bmcr.brynmawr.edu/2011/2011.08.29/" TargetMode="External"/><Relationship Id="rId10" Type="http://schemas.openxmlformats.org/officeDocument/2006/relationships/hyperlink" Target="https://referenceworks.brillonline.com/browse/brill-s-new-pauly-supplements-ii-10" TargetMode="External"/><Relationship Id="rId19" Type="http://schemas.openxmlformats.org/officeDocument/2006/relationships/hyperlink" Target="https://bmcr.brynmawr.edu/2006/2006.10.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ferenceworks.brillonline.com/browse/brill-s-new-pauly-supplements-ii-9" TargetMode="External"/><Relationship Id="rId14" Type="http://schemas.openxmlformats.org/officeDocument/2006/relationships/hyperlink" Target="https://ancienthistorybulletin.org/wp-content/uploads/2014/08/AHBReviews201122.DillonOnRichards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Honors</vt:lpstr>
    </vt:vector>
  </TitlesOfParts>
  <Company>Unknown Organization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Honors</dc:title>
  <dc:creator>Unknown User</dc:creator>
  <cp:lastModifiedBy>Marie Hause</cp:lastModifiedBy>
  <cp:revision>2</cp:revision>
  <cp:lastPrinted>2017-02-03T15:35:00Z</cp:lastPrinted>
  <dcterms:created xsi:type="dcterms:W3CDTF">2022-06-01T15:53:00Z</dcterms:created>
  <dcterms:modified xsi:type="dcterms:W3CDTF">2022-06-01T15:53:00Z</dcterms:modified>
</cp:coreProperties>
</file>